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ATAS/859/2015 vom 17. November 2015</w:t>
      </w:r>
    </w:p>
    <w:p>
      <w:r>
        <w:t>GE Cour de justice, 2015-11-17, FR</w:t>
      </w:r>
    </w:p>
    <w:p>
      <w:r>
        <w:rPr>
          <w:b/>
        </w:rPr>
        <w:t xml:space="preserve">Quelle: </w:t>
      </w:r>
      <w:r>
        <w:t>https://mcp.opencaselaw.ch/entscheid/ge_gerichte_ATAS_859_2015</w:t>
      </w:r>
    </w:p>
    <w:p>
      <w:r>
        <w:t>FR: GE_GERICHTE ATAS/859/2015 du 17 novembre 2015</w:t>
      </w:r>
    </w:p>
    <w:p>
      <w:r>
        <w:t>IT: GE_GERICHTE ATAS/859/2015 del 17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juridiquement déterminants remontent à 2012. Par conséquent, le droit éventuel aux prestations doit être examiné au regard des dispositions de la LPGA et de la LAI, dans sa teneur en vigueur depuis le 1er janvier 2012 (ATF 130 V 445 et les références; voir également ATF 130 V 329).</w:t>
      </w:r>
    </w:p>
    <w:p>
      <w:r>
        <w:t>A/3766/2014 - 7/14 -</w:t>
      </w:r>
    </w:p>
    <w:p>
      <w:r>
        <w:rPr>
          <w:b/>
        </w:rPr>
        <w:t>E. 3</w:t>
      </w:r>
    </w:p>
    <w:p>
      <w:r>
        <w:t>Le délai de recours est de 30 jours (art. 60 al. 1 LPGA). En l’espèce, le recours, transmis par l’intimé à la chambre de céans pour objet de sa compétence (art. 64 al. 2 de la loi sur la procédure administrative [LPA – E 5 10]), a été interjeté dans les forme et délai prévus par la loi (art. 60 et 61 let. b LPGA), de sorte qu’il est recevable.</w:t>
      </w:r>
    </w:p>
    <w:p>
      <w:r>
        <w:rPr>
          <w:b/>
        </w:rPr>
        <w:t>E. 4</w:t>
      </w:r>
    </w:p>
    <w:p>
      <w:r>
        <w:t>Le litige porte sur le droit du recourant à des prestations d’invalidité, singulièrement sur sa capacité de travail et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Droit de l’assurance-vieillesse et survivants</w:t>
      </w:r>
    </w:p>
    <w:p>
      <w:r>
        <w:t>A/3766/2014 - 8/14 - (AVS) et de l’assurance-invalidité (AI) – Commentaire thématique, 2011, n°2187 ss).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A/3766/2014 - 9/14 -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d'appréciation divergente entre les organes d'observation professionnelle et les données médicales, l'avis dûment motivé d'un médecin prime pour déterminer la capacité de travail raisonnablement exigible de l'assuré (arrêt du Tribunal fédéral</w:t>
      </w:r>
    </w:p>
    <w:p>
      <w:r>
        <w:t>A/3766/2014 - 10/14 -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10</w:t>
      </w:r>
    </w:p>
    <w:p>
      <w:r>
        <w:t>Il convient d’évaluer la capacité de travail du recourant et, pour ce faire, d’examiner la valeur probante des rapports versés au dossier. Dans ses rapports des 6 août 2014 et 4 février 2015, la Dresse I______, médecin au SMR et spécialiste en pédiatrie, a estimé que l’assuré avait été incapable de travailler dès le 29 avril 2012, puis avait recouvré, le 1er mars 2014, une pleine capacité de travail dans toute activité n’impliquant pas de port de charges</w:t>
      </w:r>
    </w:p>
    <w:p>
      <w:r>
        <w:t>A/3766/2014 - 11/14 - supérieures à dix kilogrammes, de flexion antérieure du tronc ou de marche sur un terrain accidenté. De son côté, le recourant conteste la valeur probante des rapports du SMR et se prévaut des conclusions du Dr J______, son rhumatologue, lequel considère « illusoire » toute reprise d’une activité professionnelle à plus de 50%. L’assuré invoque également un rapport d’évaluation professionnelle de l’entreprise Pro, concluant qu’un état de santé instable l’éloigne temporairement du marché du travail.</w:t>
      </w:r>
    </w:p>
    <w:p>
      <w:r>
        <w:rPr>
          <w:b/>
        </w:rPr>
        <w:t>E. 11</w:t>
      </w:r>
    </w:p>
    <w:p>
      <w:r>
        <w:t>En l’occurrence, le rapport de synthèse établi par le SMR le 6 août 2014 ne repose pas sur des observations cliniques auxquelles l’un de ses médecins aurait personnellement procédé, mais exclusivement sur une analyse des documents médicaux versés au dossier. Force est de constater que ce rapport, particulièrement succinct, ne répond pas aux réquisits jurisprudentiels qui permettraient de lui reconnaître une pleine valeur probante. En effet, la Dresse I______, dont on précisera qu’elle n’est pas au bénéfice d’une formation spécialisée en rhumatologie, a extrapolé des rapports des médecins du recourant, émanant notamment du Dr C______, que l’intéressé avait été incapable de travailler depuis le 29 mars 2012, puis avait recouvré une pleine capacité de travail dans toute activité adaptée dès le 1er mars 2014, toutefois sans exposer clairement les raisons pour lesquelles les atteintes constatées par les médecins traitants, notamment sur le plan rhumatologique, n’empêcheraient plus l’exercice d’une activité adaptée. Or, dans la mesure où les conclusions du Dr C______ attestaient d’une capacité de travail limitée à 50% et s’écartaient donc notablement des siennes, on pouvait raisonnablement attendre de cette praticienne qu’elle étaye son point de vue divergent par des explications circonstanciées et convaincantes. Par ailleurs, cette dernière s’est contredite en chiffrant tantôt à 50%, tantôt à 100% l’incapacité de travail survenue dès le 29 avril 2012 (cf. rapport du 6 août 2014, p. 1 et 2). En outre, son appréciation ne reposait pas sur des examens complets, puisque, comme elle l’a observé elle-même, il manque au dossier un bilan clinique et radiologique se rapportant au diagnostic de gonarthrite droite, lequel est précisément considéré comme incapacitant par le Dr C______. Elle n’a pas non plus discuté du diagnostic d’ « amyotrophie généralisée » et de ses répercussions éventuelles sur la capacité de travail. À l’appui de sa duplique, l’intimé a produit un avis actualisé du SMR, daté du 4 février 2015, dont le contenu ne permet pas de remédier aux lacunes exposées ci- dessus. Ce rapport succinct ne se penche pas non plus sur les diagnostics de gonarthrite et d’amyotrophie, ni sur leurs répercussions éventuelles sur la capacité de travail. Seules les douleurs de la crête du tibia droit et le rapport d’évaluation professionnelle de l’entreprise Pro sont évoqués, au demeurant de manière superficielle dans la mesure où le SMR se borne à relever, d’une part, que, malgré la persistance de douleurs, le « périmètre de marche » est redevenu normal depuis l’opération d’angioplastie et, d’autre part, que les évaluateurs ne bénéficient pas</w:t>
      </w:r>
    </w:p>
    <w:p>
      <w:r>
        <w:t>A/3766/2014 - 12/14 - d’une formation médicale. L’intimé ne saurait ignorer purement et simplement les observations des évaluateurs pour le seul motif que ceux-ci ne sont pas médecins. Au contraire, leurs constatations selon lesquelles l’assuré a, malgré sa bonne volonté, souffert d’une grande fatigue et de douleurs cardiaques, de sorte qu’il ne paraissait pas en mesure d’exercer une activité lucrative à ce stade, vu son état de santé instable, tendent à confirmer la nécessité de procéder à une instruction complémentaire. On précisera également que si le compte-rendu de l’entreprise Pro est effectivement postérieur à la décision litigieuse du 24 novembre 2014, les faits auxquels il se rapporte sont, pour l’essentiel, antérieurs à cette décision, de sorte qu’il se justifie d’en tenir compte dans le cadre de la présente procédure (arrêt du Tribunal fédéral I 592/03 du 21 juillet 2004, consid. 4.3 s. et les références citées). Eu égard aux considérations qui précèdent, il n’y a pas lieu de se fonder, sans instruction complémentaire, sur les conclusions du SMR. S’agissant enfin des rapports des médecins du recourant, émanant en particulier du Dr C______, ils ne sont pas suffisamment motivés pour que l’on puisse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w:t>
      </w:r>
    </w:p>
    <w:p>
      <w:r>
        <w:rPr>
          <w:b/>
        </w:rPr>
        <w:t>E. 12</w:t>
      </w:r>
    </w:p>
    <w:p>
      <w:r>
        <w:t>En définitive, la chambre de céans constate que la cause est insuffisamment instruite, de sorte qu’elle n’est pas en mesure de statuer définitivement sur la capacité de travail et son évolution, partant sur le degré d’invalidité et le droit à la rente, ce d’autant moins que le rapport d’évaluation professionnelle et le dernier rapport du Dr C______ suggèrent que l’état de santé du recourant n’est pas encore stabilisé. Il se justifie en conséquence d’admettre partiellement le recours, d’annuler la décision du 24 novembre 2014 et de renvoyer la cause à l’OAI pour instruction complémentaire, étant rappelé qu’il n’appartient pas au juge de suppléer aux carences de l’instruction menée par l’administration. Cette instruction sera mise en œuvre par une expertise en rhumatologie et, si l’intimé le juge nécessaire, en angiologie et médecine interne, confiée à des experts indépendants. Les experts se prononceront sur la capacité de travail et son évolution, en tenant compte de l’ensemble des rapports médicaux versés au dossier, y compris ceux produits par le recourant à l’appui de son recours.</w:t>
      </w:r>
    </w:p>
    <w:p>
      <w:r>
        <w:rPr>
          <w:b/>
        </w:rPr>
        <w:t>E. 13</w:t>
      </w:r>
    </w:p>
    <w:p>
      <w:r>
        <w:t>Le recourant, qui est représenté, obtient partiellement gain de cause, de sorte qu’il a droit à une indemnité à titre de participation à ses frais et dépens, que la chambre de céans fixe en l’occurrence à CHF 1'500.- (art. 61 let. g LPGA ; art. 89H al. 3 LPA ; art. 6 du règlement sur les frais, émoluments et indemnités en procédure administrative du 30 juillet 1986 - RFPA ; E 5 10.03).</w:t>
      </w:r>
    </w:p>
    <w:p>
      <w:r>
        <w:t>A/3766/2014 - 13/14 - La procédure de recours en matière de contestation portant sur l’octroi ou le refus de prestations de l’assurance-invalidité étant soumise à des frais de justice, un émolument de CHF 200.- est mis à charge de l’intimé (art. 69 al. 1 bis LAI).</w:t>
      </w:r>
    </w:p>
    <w:p>
      <w:r>
        <w:t>A/3766/2014 - 14/14 -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