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ATAS/859/2010 vom 22. Januar 2008</w:t>
      </w:r>
    </w:p>
    <w:p>
      <w:r>
        <w:t>GE Cour de justice, 2008-01-22, FR</w:t>
      </w:r>
    </w:p>
    <w:p>
      <w:r>
        <w:rPr>
          <w:b/>
        </w:rPr>
        <w:t xml:space="preserve">Quelle: </w:t>
      </w:r>
      <w:r>
        <w:t>https://mcp.opencaselaw.ch/entscheid/ge_gerichte_ATAS_859_2010</w:t>
      </w:r>
    </w:p>
    <w:p>
      <w:r>
        <w:t>FR: GE_GERICHTE ATAS/859/2010 du 22 janvier 2008</w:t>
      </w:r>
    </w:p>
    <w:p>
      <w:r>
        <w:t>IT: GE_GERICHTE ATAS/859/2010 del 22 gennaio 2008</w:t>
      </w:r>
    </w:p>
    <w:p>
      <w:pPr>
        <w:pStyle w:val="Heading2"/>
      </w:pPr>
      <w:r>
        <w:t>Erwägungen</w:t>
      </w:r>
    </w:p>
    <w:p>
      <w:r>
        <w:rPr>
          <w:b/>
        </w:rPr>
        <w:t>E. 19</w:t>
      </w:r>
    </w:p>
    <w:p>
      <w:r>
        <w:t>juin 1959 (LAI ; RS 831.20) ; Que sa compétence pour juger du cas d’espèce est ainsi établie ; Qu'en l'espèce, l'OAI s'est adressé à la CCGC en exécution du nouvel arrêt rendu par le Tribunal de céans le 27 avril 2010 ; Qu'il convient d'en prendre acte ; Que le recours est dès lors devenu sans objet ;</w:t>
      </w:r>
    </w:p>
    <w:p>
      <w:r>
        <w:t>A/3919/2008 - 3/4 -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 succès du procès le justifient (ATF 110 V 57, consid. 2a ; RCC 1989, p. 318, consid. 2b) ; Que tel est le cas en l’espèce, dès lors que le recourant a obtenu satisfaction ; Qu'en l'espèce, les dépens seront fixés à 800 fr. ;</w:t>
      </w:r>
    </w:p>
    <w:p>
      <w:r>
        <w:t>A/3919/2008 - 4/4 -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