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ATAS/859/2009 vom 1. Juli 2009</w:t>
      </w:r>
    </w:p>
    <w:p>
      <w:r>
        <w:t>GE Cour de justice, 2009-07-01, FR</w:t>
      </w:r>
    </w:p>
    <w:p>
      <w:r>
        <w:rPr>
          <w:b/>
        </w:rPr>
        <w:t xml:space="preserve">Quelle: </w:t>
      </w:r>
      <w:r>
        <w:t>https://mcp.opencaselaw.ch/entscheid/ge_gerichte_ATAS_859_2009</w:t>
      </w:r>
    </w:p>
    <w:p>
      <w:r>
        <w:t>FR: GE_GERICHTE ATAS/859/2009 du 1 juillet 2009</w:t>
      </w:r>
    </w:p>
    <w:p>
      <w:r>
        <w:t>IT: GE_GERICHTE ATAS/859/2009 del 1 luglio 2009</w:t>
      </w:r>
    </w:p>
    <w:p>
      <w:pPr>
        <w:pStyle w:val="Heading2"/>
      </w:pPr>
      <w:r>
        <w:t>Erwägungen</w:t>
      </w:r>
    </w:p>
    <w:p>
      <w:r>
        <w:rPr>
          <w:b/>
        </w:rPr>
        <w:t>E. 1</w:t>
      </w:r>
    </w:p>
    <w:p>
      <w:r>
        <w:t>Conformément à l'art. 56V al. 1 let. a ch. 2 de la loi genevoise sur l'organisation judiciaire, du 22 novembre 1941 (LOJ ; RS E 2 05), le Tribunal cantonal des</w:t>
      </w:r>
    </w:p>
    <w:p>
      <w:r>
        <w:t>A/4757/2008 - 6/9 - assurances sociales connaît en instance unique des contestations prévues à l’article 56 de la loi fédérale sur la partie générale du droit des assurances sociales, du 6 octobre 2000 (LPGA ; RS 830.1) ) qui sont relatives à la loi fédérale sur l’assurance-invalidité du 19 juin 1959 (LAI ; RS 831.40). Sa compétence pour juger du cas d’espèce est ainsi établie.</w:t>
      </w:r>
    </w:p>
    <w:p>
      <w:r>
        <w:rPr>
          <w:b/>
        </w:rPr>
        <w:t>E. 2</w:t>
      </w:r>
    </w:p>
    <w:p>
      <w:r>
        <w:t>Interjeté dans les forme et délai utiles, le recours est recevable (art.56 et 60 LPGA).</w:t>
      </w:r>
    </w:p>
    <w:p>
      <w:r>
        <w:rPr>
          <w:b/>
        </w:rPr>
        <w:t>E. 3</w:t>
      </w:r>
    </w:p>
    <w:p>
      <w:r>
        <w:t>L'objet du litige consiste à déterminer si l'intimé était fondé à supprimer, par voie de révision, la rente entière d'invalidité de la recourante.</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On ajoutera également qu'un motif de révision au sens de l'art. 17 LPGA (ou de l'ancien art. 41 LAI) doit clairement ressortir du dossier (p. ex. arrêt I 559/02 du 31 janvier 2003,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w:t>
      </w:r>
    </w:p>
    <w:p>
      <w:r>
        <w:t>A/4757/2008 - 7/9 - Il n'y a par conséquent pas matière à révision lorsque les circonstances sont demeurées inchangées et que le motif de la suppression ou de la diminution de la rente réside uniquement dans une nouvelle appréciation du cas.</w:t>
      </w:r>
    </w:p>
    <w:p>
      <w:r>
        <w:rPr>
          <w:b/>
        </w:rPr>
        <w:t>E. 5</w:t>
      </w:r>
    </w:p>
    <w:p>
      <w:r>
        <w:t>En l'espèce, il convient de comparer les faits existant au moment de la décision litigieuse avec ceux qui prévalaient en novembre 2002 lors de l'octroi de la rente.</w:t>
      </w:r>
    </w:p>
    <w:p>
      <w:r>
        <w:rPr>
          <w:b/>
        </w:rPr>
        <w:t>E. 6</w:t>
      </w:r>
    </w:p>
    <w:p>
      <w:r>
        <w:t>Selon le Dr D___________, l'assurée présentait, outre un trouble somatoforme douloureux et des troubles statiques lombaires modestes, une comorbidité psychiatrique sous forme d'un état dépressif de gravité moyenne, l'empêchant de travailler à 100 % depuis le 31 mai 2001. Lors de la procédure de révision, le médecin traitant de la recourante a attesté d'une incapacité totale de travail, en raison de ses troubles somatiques et de son état dépressif. Il a précisé que sa patiente n'avait pas voulu continuer sa thérapie chez un psychiatre. Le SMR a réalisé un examen bidisciplinaire de la recourante en date du 28 février 2008. Sur le plan somatique, le Dr F___________ a diagnostiqué, avec répercussions sur la capacité de travail, des lombalgies chroniques sur troubles statiques et dégénératifs. Il n'y a pas de trouble neurologique et la patiente et en excellent état général. D'autre part, la fibromyalgie n'a pas de répercussion sur la capacité de travail. En effet, sur le plan psychiatrique, une dépression chronique de l'humeur, fluctuante, a été mise en évidence. Cependant, l'intensité des troubles est insuffisante pour retenir le diagnostic d'état dépressif de gravité moyenne. Il n'y a pas de perte d'intégration sociale dans toutes les manifestations de la vie. Par conséquent, toute activité qui respecte les limitations fonctionnelles est possible, à 100 %, sans diminution de rendement. Une telle activité peut théoriquement être mise en œuvre déjà depuis le moment de l'octroi de la rente. La recourante conteste cette appréciation, relevant que l'état dépressif d'intensité moyenne existe toujours. Elle se réfère à l'appréciation de son médecin traitant, du 14 octobre 2008, lequel atteste que la recourante a fait trois épisodes de lumbagos aigus traités par injection, que son état algique a pris une allure plus intense, accompagné d'une fatigue généralisée avec insomnie et qu'elle se montre très déprimée. Cette appréciation n'est pas de nature à remettre en cause l'appréciation des médecins du SMR, dont le rapport remplit tous les réquisits exigés par la jurisprudence pour se voir attribuer pleine valeur probante. En effet, le rapport du SMR comporte une anamnèse complète (familiale, professionnelle, actuelle, par système, psychosociale et psychiatrique) et détaillée, les plaintes de la patiente ont été relatées, les médecins ont procédé à un examen clinique et posé des diagnostics dans le cadre d'une classification reconnue. Enfin, leurs conclusions sont claires et bien motivées. Ils expliquent en particulier que les critères de la CIM-10 ne sont</w:t>
      </w:r>
    </w:p>
    <w:p>
      <w:r>
        <w:t>A/4757/2008 - 8/9 - pas remplis pour retenir le diagnostic d'état dépressif de gravité moyenne et que seule une dépression chronique de l'humeur fluctuante peut être retenue. S'agissant des lumbagos, le SMR souligne que cette affection ne peut entraîner qu'une incapacité de travail passagère. Au vu de ce qui précède, le Tribunal de céans n'a aucun motif pour s'écarter des conclusions du SMR. Il convient en conséquence d'admettre que la recourante est capable de travailler à 100 % aussi bien dans son activité habituelle que dans une activité adaptée. L'intimé était dès lors fondé à supprimer la rente d'invalidité de la recourante.</w:t>
      </w:r>
    </w:p>
    <w:p>
      <w:r>
        <w:rPr>
          <w:b/>
        </w:rPr>
        <w:t>E. 7</w:t>
      </w:r>
    </w:p>
    <w:p>
      <w:r>
        <w:t>Mal fondé, le recours est rejeté.</w:t>
      </w:r>
    </w:p>
    <w:p>
      <w:r>
        <w:rPr>
          <w:b/>
        </w:rPr>
        <w:t>E. 8</w:t>
      </w:r>
    </w:p>
    <w:p>
      <w:r>
        <w:t>L'émolument, fixé à 200 fr, est mis à la charge de la recourante (art. 69bis al. 1 LAI).</w:t>
      </w:r>
    </w:p>
    <w:p>
      <w:r>
        <w:t>A/4757/2008 - 9/9 -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