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ATAS/858/2015 vom 16. November 2015</w:t>
      </w:r>
    </w:p>
    <w:p>
      <w:r>
        <w:t>GE Cour de justice, 2015-11-16, FR</w:t>
      </w:r>
    </w:p>
    <w:p>
      <w:r>
        <w:rPr>
          <w:b/>
        </w:rPr>
        <w:t xml:space="preserve">Quelle: </w:t>
      </w:r>
      <w:r>
        <w:t>https://mcp.opencaselaw.ch/entscheid/ge_gerichte_ATAS_858_2015</w:t>
      </w:r>
    </w:p>
    <w:p>
      <w:r>
        <w:t>FR: GE_GERICHTE ATAS/858/2015 du 16 novembre 2015</w:t>
      </w:r>
    </w:p>
    <w:p>
      <w:r>
        <w:t>IT: GE_GERICHTE ATAS/858/2015 del 16 novembre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A/1985/2015 - 5/9 -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prévus par la loi, le recours est recevable (art. 56 ss LPGA).</w:t>
      </w:r>
    </w:p>
    <w:p>
      <w:r>
        <w:rPr>
          <w:b/>
        </w:rPr>
        <w:t>E. 3</w:t>
      </w:r>
    </w:p>
    <w:p>
      <w:r>
        <w:t>Le litige porte sur le montant des prestations complémentaires fédérales et cantonales auquel a droit le recourant, en particulier sur la question de savoir s’il se justifie de déduire du gain potentiel de l’épouse du recourant des frais de garde des enfants ainsi que sur le montant des allocations familiales à prendre en compte, étant précisé que le principe de la prise en compte d’un gain potentiel pour l’épouse du recourant n’est pas contesté.</w:t>
      </w:r>
    </w:p>
    <w:p>
      <w:r>
        <w:rPr>
          <w:b/>
        </w:rPr>
        <w:t>E. 4</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w:t>
      </w:r>
    </w:p>
    <w:p>
      <w:r>
        <w:t>A/1985/2015 - 6/9 -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(Arrêt non publié du Tribunal fédéral, 8C_440/2008, du 6 février 2009). c) Conformément aux Directives concernant les prestations complémentaires à l’AVS et à l’AI de l’Office fédéral des assurances sociales, les frais de garde des enfants peuvent être déduits selon les normes de l’impôt cantonal direct (DPC n° 3421.04, valables dès le 1er avril 2011). Selon l’art. 35 de la loi sur l'imposition des personnes physiques du 27 septembre 2009 (LIPP - D 3 08), teneur en vigueur dès le 1er janvier 2013, un montant de CHF 4’000.-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5</w:t>
      </w:r>
    </w:p>
    <w:p>
      <w:r>
        <w:t>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en matière de prestations fédérales s’appliquent mutatis mutandis, les principes valables en droit cantonal étant les mêmes que ceux qui s’appliquent en la matière en droit fédéral (ATAS/1473/2009 du 26 novembre 2009 consid. 6).</w:t>
      </w:r>
    </w:p>
    <w:p>
      <w:r>
        <w:rPr>
          <w:b/>
        </w:rPr>
        <w:t>E. 6</w:t>
      </w:r>
    </w:p>
    <w:p>
      <w:r>
        <w:t>a) Dans un arrêt du 14 janvier 2015 (ATAS/18/2015) la chambre de céans a confirmé qu’il convenait de déduire du gain potentiel de l’épouse de l’assuré des frais de garde d’enfants à hauteur de CHF 4'000.- par année, selon les normes de l’impôt cantonal direct, en relevant qu’en l’espèce, le père, invalide, ne pouvait pas s’occuper en particulier de son enfant de deux ans. b) Dans un arrêt du 5 novembre 2014 (ATAS/1143/2014) la chambre de céans a refusé de prendre en compte des frais de garde au motif que l’assuré, invalide,</w:t>
      </w:r>
    </w:p>
    <w:p>
      <w:r>
        <w:t>A/1985/2015 - 7/9 - pouvait s’occuper de son enfant, âgé de 8 ans de surcroît dès lors que celui-ci était scolarisé et ne devait plus être porté. c) Dans un arrêt du 30 juin 2008 (8C_618/2007), le Tribunal fédéral a confirmé un jugement cantonal prenant en compte le gain potentiel de l’épouse réduit des frais de garde fondé sur le coût des crèches dans la région du domicile de l’enfant et sur le temps consacré par la mère pour conduire et rechercher sa fille.</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8</w:t>
      </w:r>
    </w:p>
    <w:p>
      <w:r>
        <w:t>En l’espèce, le principe d’un gain hypothétique de l’épouse du recourant au taux de 50% retenu depuis le 1er février 2015 n’est pas litigieux. Le recourant invoque cependant le droit de déduire de ce dernier les fais de garde de ses trois filles, soit CHF 6’000.- par année (3 x CHF 4’000.- : 2), compte tenu d’une activité théorique de son épouse à 50%. Quant à l’intimé, il a admis que des frais de garde pour la fille E______ du recourant étaient justifiés, ce dernier n’étant pas à même, en raison de ses limitations fonctionnelles, de s’occuper de sa fille âgée de un an. En revanche, aucun frais de garde ne se justifiait pour les filles aînées D______ et C______, âgées de respectivement onze ans _______ 2015 et de quatorze ans le ______ 2015. À cet égard, il convient en effet de constater que les filles aînées du recourant sont autonomes pour se rendre à l’école et que le recourant est à même, en cas de besoin, de les véhiculer, comme il l’a déclaré lors de l’audience de comparution personnelle des parties. Compte tenu de leur âge et de la présence du recourant à la maison, il n’y a en particulier pas lieu de prendre en compte des frais de garde pour le temps de pause de midi, moment durant lequel l’épouse du recourant est actuellement présente et ne le serait vraisemblablement plus si elle exerçait une activité à 50 %. En conséquence, des frais de garde doivent être admis uniquement pour l’enfant E______, à hauteur de CHF 2'000.- par année (soit CHF 4'000.- : 2), en déduction du gain potentiel de l’épouse du recourant, compte tenu d’un travail exigible de celle-ci à 50%.</w:t>
      </w:r>
    </w:p>
    <w:p>
      <w:r>
        <w:rPr>
          <w:b/>
        </w:rPr>
        <w:t>E. 9</w:t>
      </w:r>
    </w:p>
    <w:p>
      <w:r>
        <w:t>Selon l’art. 11 al. 1 let. f LPC et 5 LPCC, le revenu déterminant comprend les allocations familiales.</w:t>
      </w:r>
    </w:p>
    <w:p>
      <w:r>
        <w:t>A/1985/2015 - 8/9 - Selon l’art. 8 al. 2 let. a et al. 4 let. b de la loi sur les allocations familiales du 1er mars 1996 (LAF - J 5 10), l’allocation par enfant est de CHF 300.- par mois pour l’enfant jusqu’à 16 ans (al. 2 let. a) ; pour le troisième enfant donnant droit aux allocations et chacun des enfants suivants les montant figurant aux alinéas 2 et 3 sont augmentés de CHF 100.- (al. 4 let. b). Contrairement à l’avis de l’intimé, le supplément familial n’est pas accordé en particulier au troisième enfant, même s’il est attribué administrativement à celui-ci, mais en raison de la présence de trois enfants au sein de la famille. La chambre de céans a d’ailleurs déjà jugé qu’il convenait de prendre en compte une fraction du supplément familial pour chaque enfant de la famille (ATAS/262/2011 du 17 mars 2011). Comme le relève le recourant, il n’y a donc pas lieu d’attribuer le supplément mensuel de CHF 100.- à l’enfant E______ dans sa totalité mais uniquement à raison d’un tiers pour celle-ci et d’un tiers pour D______, soit un montant annuel de CHF 800.- ; le montant total annuel des allocations familiales à prendre en compte, au titre de revenu est ainsi de CHF 8'000.- au lieu de CHF 8'400.-.</w:t>
      </w:r>
    </w:p>
    <w:p>
      <w:r>
        <w:rPr>
          <w:b/>
        </w:rPr>
        <w:t>E. 10</w:t>
      </w:r>
    </w:p>
    <w:p>
      <w:r>
        <w:t>Au vu de ce qui précède, le recours sera partiellement admis et la décision litigieuse annulée. La cause sera renvoyée à l’intimé pour nouvelle décision dans le sens des considérants, soit en prenant en compte des frais de garde à hauteur de CHF 2'000.- et un montant d’allocations familiales de CHF 8’000.- par année. Vu l’issue du litige, une indemnité de CHF 2'500.- sera allouée au recourant, à charge de l’intimé.</w:t>
      </w:r>
    </w:p>
    <w:p>
      <w:r>
        <w:t>A/1985/2015 - 9/9 -</w:t>
      </w:r>
    </w:p>
    <w:p>
      <w:r>
        <w:t>PAR CES MOTIFS, LA CHAMBRE DES ASSURANCES SOCIALES : Statuant A la forme : 1. Déclare le recours recevable. Au fond : 2. L’admet partiellement. 3. Annule la décision de l’intimé du 11 mai 2015. 4. Renvoie la cause à l’intimé pour nouvelle décision, dans le sens des considérants. 5. Condamne l'intimé à verser au recourant une indemnité de CHF 2'500.-.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