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ATAS/857/2023 vom 8. November 2023</w:t>
      </w:r>
    </w:p>
    <w:p>
      <w:r>
        <w:t>GE Cour de justice, 2023-11-08, FR</w:t>
      </w:r>
    </w:p>
    <w:p>
      <w:r>
        <w:rPr>
          <w:b/>
        </w:rPr>
        <w:t xml:space="preserve">Quelle: </w:t>
      </w:r>
      <w:r>
        <w:t>https://mcp.opencaselaw.ch/entscheid/ge_gerichte_ATAS_857_2023</w:t>
      </w:r>
    </w:p>
    <w:p>
      <w:r>
        <w:t>FR: GE_GERICHTE ATAS/857/2023 du 8 novembre 2023</w:t>
      </w:r>
    </w:p>
    <w:p>
      <w:r>
        <w:t>IT: GE_GERICHTE ATAS/857/2023 del 8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3.2</w:t>
      </w:r>
    </w:p>
    <w:p>
      <w:r>
        <w:t>et les références;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w:t>
      </w:r>
    </w:p>
    <w:p>
      <w:r>
        <w:t>Est litigieuse, en l’occurrence, la question de savoir si le recourant peut prétendre à une rente d’invalidité.</w:t>
      </w:r>
    </w:p>
    <w:p>
      <w:r>
        <w:rPr>
          <w:b/>
        </w:rPr>
        <w:t>E. 5</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1er janvier 2022. Toutefois, la demande de prestations ayant été déposée le 3 mars 2021 et le délai d’attente d’une année venant à échéance en août 2021, un éventuel droit à une rente d’invalidité naîtrait antérieurement au 1er janvier 2022 (cf. art. 28 al. 1 let. b et 29 al. 1 LAI), de sorte que les dispositions applicables seront citées dans leur teneur en vigueur jusqu’au 31 décembre 2021.</w:t>
      </w:r>
    </w:p>
    <w:p>
      <w:r>
        <w:rPr>
          <w:b/>
        </w:rPr>
        <w:t>E. 5.2</w:t>
      </w:r>
    </w:p>
    <w:p>
      <w:r>
        <w:t>;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w:t>
      </w:r>
    </w:p>
    <w:p>
      <w:r>
        <w:rPr>
          <w:b/>
        </w:rPr>
        <w:t>E. 6.1</w:t>
      </w:r>
    </w:p>
    <w:p>
      <w:r>
        <w:t>Est réputée invalidité, l'incapacité de gain totale ou partielle présumée permanente ou de longue durée, résultant d'une infirmité congénitale, d'une maladie ou d'un accident (art. 8 al. 1 LPGA et 4 al. 1 LAI). Selon l’art. 7 LPGA,</w:t>
      </w:r>
    </w:p>
    <w:p>
      <w:r>
        <w:t>A/4284/2022 - 10/19 -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w:t>
      </w:r>
    </w:p>
    <w:p>
      <w:r>
        <w:t>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6.3</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w:t>
      </w:r>
    </w:p>
    <w:p>
      <w:r>
        <w:t>A/4284/2022 - 11/19 - rapport à un même moment et les modifications de ces revenus susceptibles d'influencer le droit à la rente survenues jusqu'au moment où la décision est rendue doivent être prises en compte (ATF 129 V 222 et ATF 128 V 174). L'évaluation de l'invalidité s'effectue à l'aune d'un marché équilibré du travail. Cette notion, théorique et abstraite, sert de critère de distinction entre les cas tombant sous le coup de l'assurance-chômage et ceux qui relèvent de l'assurance- 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w:t>
      </w:r>
    </w:p>
    <w:p>
      <w:r>
        <w:rPr>
          <w:b/>
        </w:rPr>
        <w:t>E. 6.4.1</w:t>
      </w:r>
    </w:p>
    <w:p>
      <w:r>
        <w:t>Selon la jurisprudence développée en matière AVS qui s’applique également à l’assurance-invalidité, en vertu de l’art. 25 al. 1 RAI, le point de savoir si l’on a affaire dans un cas donné à une activité indépendante ou salariée ne doit pas être tranchée d’après la nature juridique du rapport contractuel entre les parties. Ce qui est déterminant, ce sont les circonstances économiques. Par exemple un assuré qui a la qualité formelle d’employé d’une société à responsabilité limitée mais qui occupe la fonction de directeur et possède la majorité des participations et qui de ce fait joue un rôle prépondérant sur la politique et la marche de l’entreprise doit être considérée comme un indépendant aux fins de l’évaluation de l’invalidité (Michel VALTERIO, Commentaire de la loi fédérale sur l'assurance-invalidité, 2018, n. 47 ad art. 28a et références jurisprudentielles citées).</w:t>
      </w:r>
    </w:p>
    <w:p>
      <w:r>
        <w:rPr>
          <w:b/>
        </w:rPr>
        <w:t>E. 6.4.2</w:t>
      </w:r>
    </w:p>
    <w:p>
      <w:r>
        <w:t>Dans le cas d’un indépendant, le degré d’invalidité ne saurait être déterminé en appliquant la méthode de la comparaison en pour-cent, cette méthode ne prenant pas en considération le fait que la gestion d'une structure commerciale</w:t>
      </w:r>
    </w:p>
    <w:p>
      <w:r>
        <w:t>A/4284/2022 - 12/19 -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 (arrêt du Tribunal fédéral 9C_44/2011 du 1er septembre 2011 consid. 4.2 et 4.3).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w:t>
      </w:r>
    </w:p>
    <w:p>
      <w:r>
        <w:rPr>
          <w:b/>
        </w:rPr>
        <w:t>E. 6.4.3</w:t>
      </w:r>
    </w:p>
    <w:p>
      <w:r>
        <w:t>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w:t>
      </w:r>
    </w:p>
    <w:p>
      <w:r>
        <w:t>A/4284/2022 - 13/19 - doit être déterminée d'après l'incapacité de gain (ATF 128 V 29 consid. 1 et les références). Concrètement, selon cette méthode, il faut tout d’abord effectuer une comparaison des champs d’activités. Il convient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de référence usuel dans la branche. On peut ainsi déterminer le revenu sans invalidité et le revenu d’invalide et effectuer une comparaison des revenus (Circulaire sur l’invalidité et l’impotence dans l’assurance-invalidité [CIIAI] publiée par l’Office fédéral des assurances sociales dans sa version valable à partir du 1er janvier 2015, ch. 3104-3105).</w:t>
      </w:r>
    </w:p>
    <w:p>
      <w:r>
        <w:rPr>
          <w:b/>
        </w:rPr>
        <w:t>E. 6.4.4</w:t>
      </w:r>
    </w:p>
    <w:p>
      <w:r>
        <w:t>Il existe dans le domaine des assurances sociales un principe général selon lequel l'assuré doit entreprendre tout ce qui est raisonnablement exigible pour diminuer son dommage (ATF 129 V 460 consid. 4.2).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des assurances I.750/04du 5 avril 2006 consid. 5.3).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w:t>
      </w:r>
    </w:p>
    <w:p>
      <w:r>
        <w:t>A/4284/2022 - 14/19 - très limitée les répercussions économiques résultant de l'atteinte à la santé (arrêt du Tribunal fédéral 9C_580/2007 du 17 juin 2008 consid. 5.4).</w:t>
      </w:r>
    </w:p>
    <w:p>
      <w:r>
        <w:rPr>
          <w:b/>
        </w:rPr>
        <w:t>E. 6.5.1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6.5.2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6.5.3</w:t>
      </w:r>
    </w:p>
    <w:p>
      <w:r>
        <w:t>En ce qui concerne les rapports établis par les médecins traitants, le juge peut et doit tenir compte du fait que, selon l'expérience, le médecin traitant est généralement enclin, en cas de doute, à prendre parti pour son patient en raison de</w:t>
      </w:r>
    </w:p>
    <w:p>
      <w:r>
        <w:t>A/4284/2022 - 15/19 -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Dans un premier grief, le recourant conteste le statut d’indépendant retenu par l’intimé et estime devoir être reconnu comme salarié. La chambre de céans relève que si l’intéressé est employé de la société B______, il en est également l’unique associé gérant. Il dispose de la signature individuelle pour l’entreprise dont il détient, selon le registre du commerce, l’intégralité du capital social de CHF 20'000.-. Lors de l’audience du 29 mars 2023, l’assuré a d’ailleurs confirmé</w:t>
      </w:r>
    </w:p>
    <w:p>
      <w:r>
        <w:t>A/4284/2022 - 16/19 - diriger la société. Il est ainsi établi qu’il doit être considéré comme un indépendant du point de vue de l’assurance-invalidité quand bien même il est formellement salarié de sa société. C’est ainsi à juste titre que l’intimé a retenu un statut d’indépendant se consacrant à temps complet à son activité.</w:t>
      </w:r>
    </w:p>
    <w:p>
      <w:r>
        <w:rPr>
          <w:b/>
        </w:rPr>
        <w:t>E. 7.2</w:t>
      </w:r>
    </w:p>
    <w:p>
      <w:r>
        <w:t>Dans un second grief, le recourant fait valoir que l’intimé a retenu de façon incorrecte qu’il avait repris son activité habituelle à 100% dès le 1er juillet 2021 sans interruption depuis lors. Il rappelle qu’il a au contraire toujours été en incapacité de travail à 50% depuis le 1er mars 2021, comme attesté par les arrêts de travail signés par son médecin traitant. La date du 1er juillet 2021 correspondait uniquement au moment à partir duquel l’incapacité n’était plus justifiée par son accident mais par une maladie. La chambre de céans constate que ce grief semble se rapporter davantage au projet de décision du 20 septembre 2021 qu’à la décision du 24 novembre 2022, cette dernière retenant désormais une capacité de travail de 50% dans l’activité habituelle et de 100% dans une activité adaptée. Cette appréciation définitive de la capacité de travail n’est par ailleurs pas critiquable, dans la mesure où elle est essentiellement fondée sur l’expertise du Dr F______. Or, celle-ci est convaincante. Elle est claire, bien argumentée, prend en compte l’ensemble des pièces médicales au dossier, ainsi que les plaintes du recourant. Le Dr F______ indique en outre explicitement avoir pris contact avec le Dr C______ qui « partage en tous points les conclusions de l’expert quant à l’évaluation de la capacité de travail de l’assuré ». Certes, dans ses rapports, le médecin traitant retient une capacité de travail de seulement 50% dans une activité sédentaire administrative. Force est cependant de constater qu’il ne mentionne aucune limitation fonctionnelle ni aucun élément objectif permettant d’expliquer en quoi une telle activité ne serait pas possible à temps complet. Ainsi, dans son rapport du 12 avril 2021, il fait uniquement état des limitations fonctionnelles suivantes : incapacité de porter des charges de plus de 5 kg, station debout limitée, escaliers. Dans celui du 22 novembre 2021, il mentionne la station debout limitée à une heure par jour, l’impossibilité de porter toute charge et la prise quotidienne d’AINS. Or, du strict point de vue médical, ces restrictions n’empêchent pas l’exercice d’une activité administrative sédentaire à plein temps. Le recourant, dont les capacités intellectuelles sont mises en exergue par son médecin traitant au titre de ressources (rapport du 12 avril 2021) ne fait d’ailleurs pas état de limitations dans la conduite des tâches administratives nécessaires à la bonne marche de sa société. Au vu de ces éléments, la capacité de travail retenue par l’intimé au terme du délai d’attente, soit 50% dans l’activité habituelle essentiellement sur les chantiers et 100% dans une activité adaptée aux limitations fonctionnelles, est fondée.</w:t>
      </w:r>
    </w:p>
    <w:p>
      <w:r>
        <w:rPr>
          <w:b/>
        </w:rPr>
        <w:t>E. 8</w:t>
      </w:r>
    </w:p>
    <w:p>
      <w:r>
        <w:t>A/4284/2022 - 17/19 -</w:t>
      </w:r>
    </w:p>
    <w:p>
      <w:r>
        <w:rPr>
          <w:b/>
        </w:rPr>
        <w:t>E. 8.1</w:t>
      </w:r>
    </w:p>
    <w:p>
      <w:r>
        <w:t>Indépendamment des griefs soulevés par le recourant et qui sont donc écartés, il convient d’examiner si le calcul du préjudice économique est bien conforme au droit. L’intimé y a procédé sur la base d’une enquête pour indépendants, selon la méthode ordinaire de la comparaison des revenus.</w:t>
      </w:r>
    </w:p>
    <w:p>
      <w:r>
        <w:rPr>
          <w:b/>
        </w:rPr>
        <w:t>E. 8.2</w:t>
      </w:r>
    </w:p>
    <w:p>
      <w:r>
        <w:t>Pour établir le revenu sans invalidité, l’enquête économique a pris en compte le salaire de l’assuré auquel elle a ajouté le bénéfice net réalisé par sa société, vu l’influence déterminante qu’il exerce sur celle-ci. Le salaire déterminant de l’assuré avant son atteinte à la santé est fondé sur l’extrait du compte individuel, l’enquête partant légitimement du principe que l’on pouvait admettre que la caisse de compensation avait procédé conformément aux prescriptions applicables à la détermination du revenu soumis à cotisations et à son inscription dans le compte individuel. Concernant le bénéfice net de la société, les enquêteurs l’ont fixé sur la base des pièces comptables et fiscales transmises par le recourant, notamment sur les comptes pertes et profits. Sur cette base, l’enquête a établi deux revenus sans invalidité distincts, soit : - CHF 40'943.- (CHF 40'000.- de revenus et CHF 943.- de bénéfice d’exploitation) pour l’année 2011, soit la dernière année avant la première atteinte à la santé incapacitante. - CHF 41'240.- (CHF 34'219.- de revenus et CHF 7'021.- de bénéfice d’exploitation) correspondant à la moyenne sur les années 2017 à 2019, soit les trois années ayant précédé l’atteinte du 3 août 2020 à l’origine de la nouvelle demande de prestations AI. Bien que largement inférieurs aux chiffres avancés de mémoire par le recourant lors de son audition, ces montants sont convaincants et conformes à l’ensemble des pièces comptables figurant au dossier. Au final, l’intimé retient comme revenu hypothétique sans invalidité le plus élevé des deux montants précités, soit CHF 41'240.-, correspondant à la moyenne lissée des années 2017 à 2019. Le choix non motivé d’opter pour la période de référence 2017-2019 plutôt que 2011 semble discutable. Cette question peut cependant demeurer ouverte faute d’incidence sur le résultat final, le revenu hypothétique sans invalidité demeurant dans les deux cas de figure largement inférieur au revenu concret avec invalidité.</w:t>
      </w:r>
    </w:p>
    <w:p>
      <w:r>
        <w:rPr>
          <w:b/>
        </w:rPr>
        <w:t>E. 8.3</w:t>
      </w:r>
    </w:p>
    <w:p>
      <w:r>
        <w:t>En effet, il ressort des documents comptables produits par le recourant et analysés lors de l’enquête économique que l’intéressé a perçu un salaire soumis à cotisation de CHF 26'466.- pour l’année 2021. Cumulé au bénéfice d’exploitation de sa société pour cette même année, soit CHF 41'859.-, son revenu total pour 2021 s’est élevé à CHF 68'325.-, ce malgré la pandémie de COVID-19.</w:t>
      </w:r>
    </w:p>
    <w:p>
      <w:r>
        <w:t>A/4284/2022 - 18/19 - À teneur des déclarations faites par le recourant dans le cadre de l’enquête économique, ce revenu a été rendu possible par l’adaptation progressive de ses activités, par lui-même, suite aux différentes atteintes à la santé dont il a été victime. Ainsi, l’intéressé a augmenté progressivement son travail administratif, se chargeant notamment lui-même des décomptes TVA et de la comptabilité simple (depuis 2016) ainsi que des ressources humaines (depuis fin 2020). Depuis 2015, il gère également une chambre d’hôtes (B&amp;B) qu’il met à disposition à l’adresse de son domicile et dont la comptabilité est intégrée à celle de son entreprise. Décrite comme aléatoire, cette activité représente en moyenne 10 à 15 heures par semaine et comporte des tâches logistiques, administratives et promotionnelles. Enfin, le recourant continue à prendre part aux travaux techniques mis en œuvre par son entreprise à un taux d’environ 25%. Selon l’enquête économique, cette participation consiste en des tâches de coordination (réunions de chantiers), de surveillance ou encore de suivi de projets et non plus des tâches physiques. Dans la mesure où ces tâches respectent les limitations fonctionnelles retenues tant par l’expert que par le médecin traitant (travail sédentaire de type administratif, pas de port de charges de plus de 5 kg, station debout limitée à une heure par jour, pas d’escaliers), force est de constater que l’activité désormais déployée par le recourant est adaptée à son état de santé et qu’elle est conséquemment exigible sous l’angle de l’assurance-invalidité. C’est ainsi à juste titre que l’intimé a pris en compte l’intégralité des revenus en résultant afin d’établir aussi concrètement que possible le revenu avec invalidité. Les revenus avec et sans invalidité ont donc été établis conformément à la jurisprudence. Le revenu concrètement réalisé par le recourant depuis l’accident du 3 août 2020 est ainsi supérieur, tant à celui de 2011 (année ayant précédé la première atteinte à la santé) qu’à celui des années 2017 à 2019 (prises tant séparément ou sur la base d’une moyenne lissée) et il n’y a ainsi pas de perte de gain sous l’angle de l’assurance invalidité.</w:t>
      </w:r>
    </w:p>
    <w:p>
      <w:r>
        <w:rPr>
          <w:b/>
        </w:rPr>
        <w:t>E. 8.4</w:t>
      </w:r>
    </w:p>
    <w:p>
      <w:r>
        <w:t>Dans un souci d’exhaustivité, la chambre de céans relève enfin que le recours de l’intimé à la méthode de la comparaison des revenus était bien légitime, le recourant ne faisant état d’aucun facteur étranger à l’invalidité de nature à influencer les résultats de sa société et justifiant donc de s’écarter de la méthode ordinaire de calcul.</w:t>
      </w:r>
    </w:p>
    <w:p>
      <w:r>
        <w:rPr>
          <w:b/>
        </w:rPr>
        <w:t>E. 9</w:t>
      </w:r>
    </w:p>
    <w:p>
      <w:r>
        <w:t>Au vu de ce qui précède, le recours est rejeté.</w:t>
      </w:r>
    </w:p>
    <w:p>
      <w:r>
        <w:rPr>
          <w:b/>
        </w:rPr>
        <w:t>E. 10</w:t>
      </w:r>
    </w:p>
    <w:p>
      <w:r>
        <w:t>La procédure en matière d’octroi de prestations de l’assurance-invalidité n’étant pas gratuite (art. 69 al. 1bis LAI), le recourant supporte l’émolument de CHF 200.-.</w:t>
      </w:r>
    </w:p>
    <w:p>
      <w:r>
        <w:t>A/4284/2022 - 19/19 -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