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ATAS/857/2017 vom 2. Oktober 2017</w:t>
      </w:r>
    </w:p>
    <w:p>
      <w:r>
        <w:t>GE Cour de justice, 2017-10-02, FR</w:t>
      </w:r>
    </w:p>
    <w:p>
      <w:r>
        <w:rPr>
          <w:b/>
        </w:rPr>
        <w:t xml:space="preserve">Quelle: </w:t>
      </w:r>
      <w:r>
        <w:t>https://mcp.opencaselaw.ch/entscheid/ge_gerichte_ATAS_857_2017</w:t>
      </w:r>
    </w:p>
    <w:p>
      <w:r>
        <w:t>FR: GE_GERICHTE ATAS/857/2017 du 2 octobre 2017</w:t>
      </w:r>
    </w:p>
    <w:p>
      <w:r>
        <w:t>IT: GE_GERICHTE ATAS/857/2017 del 2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les suspensions de cinq et neuf jours du droit à l'indemnité de la recourante.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w:t>
      </w:r>
    </w:p>
    <w:p>
      <w:r>
        <w:t>A/3309/2017 - 5/8 -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seize à trente jours en cas de faute de gravité moyenne, et de trente et un à soixante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w:t>
      </w:r>
    </w:p>
    <w:p>
      <w:r>
        <w:t>A/3309/2017 - 6/8 -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Il résulte du barème des suspensions établi par le Secrétariat d’Etat à l’économie (SECO) que lorsque l’assuré n’observe pas les instructions de l’OCE, en ne se rendant notamment pas à un entretien de conseil, sans excuse valable, l’autorité doit infliger une sanction de cinq à huit jours lors du premier manquement et de neuf à quinze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la recourante a fait l’objet de deux suspensions de son droit à l’indemnité, l’une de cinq jours pour défaut à l’entretien de conseil du 23 juin 2017 à 11h, l’autre de neuf jours pour défaut à l’entretien de conseil du 29 juin 2017 à 14h. La recourante a communiqué un certificat médical du Dr C______ du 7 août 2017 attestant d’un arrêt de travail total du 23 juin au 2 juillet 2017 ; elle a par ailleurs expliqué qu’elle souffrait d’une importante fatigue due à la prise de médicaments puissants contre un risque d’infection ainsi que d’une mononucléose et que le 23 juin 2017 elle était fatiguée et très fiévreuse, de sorte qu’elle n’avait</w:t>
      </w:r>
    </w:p>
    <w:p>
      <w:r>
        <w:t>A/3309/2017 - 7/8 - pas pu se rendre au rendez-vous de 11h, et le 29 juin 2017 qu’elle s’était réveillée vers 15h, soit après le rendez-vous fixé à 14h. La symptomatologie incapacitante invoquée par la recourante les 23 et 29 juin 2017 n’est pas spécifiquement contestée par l’intimé, tout comme le fait allégué par la recourante que le Dr C______ s’était trompé en indiquant un arrêt de travail le 26 juin 2017 alors qu’il s’agissait du 23 juin 2017 ; l’intimé estime cependant que le certificat du Dr C______ du 7 août 2017 est tardif et que la recourante aurait pu, en toute hypothèse, avertir l’ORP de ses absences. La recourante a expliqué que le certificat médical avait été établi le 7 août 2017 car il s’agissait de la date de la consultation chez le Dr C______, ce qui explique la tardiveté dudit certificat. Compte tenu de l’incapacité de travail alléguée par la recourante et confirmée par son médecin-traitant le 7 août 2017, il y a lieu de constater que la recourante n’était pas en mesure de se rendre aux entretiens de conseil des 23 et 29 juin 2017, pour des raisons médicales, soit pour des raisons valables. En revanche, la recourante aurait pu et dû avertir dès que possible son conseiller de son empêchement, ce qu’elle a fautivement omis de faire. Au vu de ce qui précède, il convient d’admettre que la faute commise par la recourante est légère, ce d’autant qu’aucune autre sanction ne figure au dossier, de sorte que la première suspension de cinq jours du droit à l’indemnité de la recourante doit être diminuée à un jour ; en revanche, la seconde suspension de neuf jours du droit à l’indemnité de la recourante ne peut qu’être confirmée dès lors qu’il s’agit d’un second même manquement et qu’il était exigible de la recourante qu’elle avertisse son conseiller de son absence aussitôt que possible.</w:t>
      </w:r>
    </w:p>
    <w:p>
      <w:r>
        <w:rPr>
          <w:b/>
        </w:rPr>
        <w:t>E. 7</w:t>
      </w:r>
    </w:p>
    <w:p>
      <w:r>
        <w:t>Le recours sera partiellement admis et la décision du 21 juillet 2017 réformée dans le sens que la sanction est réduite à un jour de suspension du droit à l’indemnité de la recourante. La décision du 24 juillet 2017 sera, quant à elle, confirmée.</w:t>
      </w:r>
    </w:p>
    <w:p>
      <w:r>
        <w:rPr>
          <w:b/>
        </w:rPr>
        <w:t>E. 8</w:t>
      </w:r>
    </w:p>
    <w:p>
      <w:r>
        <w:t>Pour le surplus, la procédure est gratuite.</w:t>
      </w:r>
    </w:p>
    <w:p>
      <w:r>
        <w:t>A/3309/2017 - 8/8 -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