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ATAS/856/2024 vom 5. November 2024</w:t>
      </w:r>
    </w:p>
    <w:p>
      <w:r>
        <w:t>GE Cour de justice, 2024-11-05, FR</w:t>
      </w:r>
    </w:p>
    <w:p>
      <w:r>
        <w:rPr>
          <w:b/>
        </w:rPr>
        <w:t xml:space="preserve">Quelle: </w:t>
      </w:r>
      <w:r>
        <w:t>https://mcp.opencaselaw.ch/entscheid/ge_gerichte_ATAS_856_2024</w:t>
      </w:r>
    </w:p>
    <w:p>
      <w:r>
        <w:t>FR: GE_GERICHTE ATAS/856/2024 du 5 novembre 2024</w:t>
      </w:r>
    </w:p>
    <w:p>
      <w:r>
        <w:t>IT: GE_GERICHTE ATAS/856/2024 del 5 novembre 2024</w:t>
      </w:r>
    </w:p>
    <w:p>
      <w:pPr>
        <w:pStyle w:val="Heading2"/>
      </w:pPr>
      <w:r>
        <w:t>Erwägungen</w:t>
      </w:r>
    </w:p>
    <w:p>
      <w:r>
        <w:rPr>
          <w:b/>
        </w:rPr>
        <w:t>E. 10</w:t>
      </w:r>
    </w:p>
    <w:p>
      <w:r>
        <w:t>; ATA/198/2021 du 23 février 2021 ; ATA/900/2020 du 22 septembre 2020 consid. 4b), étant au surplus précisé que la garantie de la propriété n'impose nullement une pleine compensation du coût de la défense de la partie victorieuse (arrêt du Tribunal fédéral 1C_58/2019 du 31 décembre 2019 consid. 3.4 ; ATA/198/2021 précité ; ATA/900/2020 précité consid. 4b) ; que pour déterminer le montant de l’indemnité, il convient de prendre en compte les différents actes d’instruction, le nombre d’échanges d’écritures et d’audiences, le montant retenu devant intégrer l’importance et la pertinence des écritures produites et, de manière générale, la complexité de l’affaire (arrêt du Tribunal fédéral 1C_58/2019 du 31 décembre 2019 consid. 3.4 ; ATAS/323/2021 précité ; ATA/198/2021 précité ; ATA/900/2020 précité consid. 4c) ; Que dans le cas présent, le demandeur, obtenant entièrement gain de cause au fond sur l’essentiel de ses conclusions et étant assisté d'un conseil qui fait valoir des honoraires à hauteur de CHF 5’405.-, a droit à des dépens qui seront fixés à CHF 1’500.- (cf. art. 61 let. g LPGA et 89H al. 3 LPA), montant tenant compte de la complexité relative de la cause et des actes de procédure de l’assuré ;</w:t>
      </w:r>
    </w:p>
    <w:p>
      <w:r>
        <w:t>A/3089/2024 - 4/4 -</w:t>
      </w:r>
    </w:p>
    <w:p>
      <w:r>
        <w:t>PAR CES MOTIFS, LA CHAMBRE DES ASSURANCES SOCIALES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