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ATAS/856/2021 vom 18. August 2021</w:t>
      </w:r>
    </w:p>
    <w:p>
      <w:r>
        <w:t>GE Cour de justice, 2021-08-18, FR</w:t>
      </w:r>
    </w:p>
    <w:p>
      <w:r>
        <w:rPr>
          <w:b/>
        </w:rPr>
        <w:t xml:space="preserve">Quelle: </w:t>
      </w:r>
      <w:r>
        <w:t>https://mcp.opencaselaw.ch/entscheid/ge_gerichte_ATAS_856_2021</w:t>
      </w:r>
    </w:p>
    <w:p>
      <w:r>
        <w:t>FR: GE_GERICHTE ATAS/856/2021 du 18 août 2021</w:t>
      </w:r>
    </w:p>
    <w:p>
      <w:r>
        <w:t>IT: GE_GERICHTE ATAS/856/2021 del 18 agosto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n’était pas pendant devant la chambre de céans, il est soumis au nouveau droit (cf. art. 82a LPGA ; RO 2020 5137 ; FF 2018 1597 ; erratum de la CdR de l’Ass. féd. du 19 mai 2021, publié le 18 juin 2021 in RO 2021 358).</w:t>
      </w:r>
    </w:p>
    <w:p>
      <w:r>
        <w:rPr>
          <w:b/>
        </w:rPr>
        <w:t>E. 3</w:t>
      </w:r>
    </w:p>
    <w:p>
      <w:r>
        <w:t>Le délai de recours est de trente jours (art. 60 al. 1 LPGA; art. 43 LPCC; art. 62 al. 1 let. a de la loi sur la procédure administrative du 12 septembre 1985 [LPA- GE - E 5 10] et art. 43 LPCC). 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4</w:t>
      </w:r>
    </w:p>
    <w:p>
      <w:r>
        <w:t>L’intimé ayant conclu à l’admission du recours s’agissant des allocations familiales, seule reste litigieuse la date à partir de laquelle doit être prise en compte la réduction du montant de l’épargne de la recourante annoncée le 2 mars 2020.</w:t>
      </w:r>
    </w:p>
    <w:p>
      <w:r>
        <w:rPr>
          <w:b/>
        </w:rPr>
        <w:t>E. 4.1</w:t>
      </w:r>
    </w:p>
    <w:p>
      <w:r>
        <w:t>Selon l’art. 25 al. 1 let. c ordonnance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w:t>
      </w:r>
    </w:p>
    <w:p>
      <w:r>
        <w:t>A/15/2021 - 4/5 - Selon l’art. 25 al. 2 let. b OPC-AVS/AI,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(let. b).</w:t>
      </w:r>
    </w:p>
    <w:p>
      <w:r>
        <w:rPr>
          <w:b/>
        </w:rPr>
        <w:t>E. 4.2</w:t>
      </w:r>
    </w:p>
    <w:p>
      <w:r>
        <w:t>En application des dispositions précitées, l’intimé a tenu compte à juste titre de la diminution de l’épargne de la recourante dès le 1er mars 2020, dès lors que ce changement a été annoncé le 2 mars. L’art. 25 al. 2 let. b OPC-AVS/AI est clair et il ne permet de l’interpréter dans le sens voulu par la recourante.</w:t>
      </w:r>
    </w:p>
    <w:p>
      <w:r>
        <w:rPr>
          <w:b/>
        </w:rPr>
        <w:t>E. 5</w:t>
      </w:r>
    </w:p>
    <w:p>
      <w:r>
        <w:t>Le recours doit être rejeté en tant qu’il conteste la date à partir de laquelle l’intimé a pris en compte la réduction du montant de l’épargne de la recourante annoncée le 2 mars 2020. Il doit en revanche être admis s’agissant des allocations familiales, l’intimé ayant finalement considéré qu’il n’y avait pas lieu de retenir un montant à ce titre pour la recourante dès le 1er janvier 2020. La décision sera en conséquence annulée sur ce point et la cause renvoyée en ce sens à l’intimé pour nouvelle décision.</w:t>
      </w:r>
    </w:p>
    <w:p>
      <w:r>
        <w:rPr>
          <w:b/>
        </w:rPr>
        <w:t>E. 6</w:t>
      </w:r>
    </w:p>
    <w:p>
      <w:r>
        <w:t>Pour le surplus, la procédure est gratuite (art. 61 let. fbis a contrario LPGA).</w:t>
      </w:r>
    </w:p>
    <w:p>
      <w:r>
        <w:t>A/15/2021 - 5/5 -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