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ATAS/856/2020 vom 13. Oktober 2020</w:t>
      </w:r>
    </w:p>
    <w:p>
      <w:r>
        <w:t>GE Cour de justice, 2020-10-13, FR</w:t>
      </w:r>
    </w:p>
    <w:p>
      <w:r>
        <w:rPr>
          <w:b/>
        </w:rPr>
        <w:t xml:space="preserve">Quelle: </w:t>
      </w:r>
      <w:r>
        <w:t>https://mcp.opencaselaw.ch/entscheid/ge_gerichte_ATAS_856_2020</w:t>
      </w:r>
    </w:p>
    <w:p>
      <w:r>
        <w:t>FR: GE_GERICHTE ATAS/856/2020 du 13 octobre 2020</w:t>
      </w:r>
    </w:p>
    <w:p>
      <w:r>
        <w:t>IT: GE_GERICHTE ATAS/856/2020 del 13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1.1</w:t>
      </w:r>
    </w:p>
    <w:p>
      <w:r>
        <w:t>;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w:t>
      </w:r>
    </w:p>
    <w:p>
      <w:r>
        <w:t>A/2411/2019 - 10/15 -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Dans un arrêt plus récent, le Tribunal fédéral a précisé qu’à lui seul, l’existence d’un centre de relations personnelles n’est pas déterminant. Il faut bien plutôt accorder un poids décisif au fait que la famille réside dans une villa en France (arrêt du Tribunal fédéral 8C_245/2016 du 19 janvier 2017 consid. 4.1).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Tribunal fédéral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5.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A/2411/2019 - 11/15 -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En l’espèce, la caisse a considéré que le recourant n’était pas domicilié en Suisse au moment de sa demande de prestations de l’assurance-chômage, ce que celui-ci conteste. Il ressort de l’extrait de l’OCPM que le recourant est domicilié en Suisse, au C______ Genève, depuis le 15 décembre 2018. Or, ainsi qu’il a été exposé ci-avant, le fait d’avoir une adresse officielle en Suisse et d’y payer des impôts n’est pas déterminant si d’autres incidences permettent de conclure à l’existence d’une résidence habituelle à l’étranger. Or, dans le cas d’espèce, il est particulièrement difficile d’admettre que, de décembre 2018 à juillet 2019, le recourant a séjourné durant la semaine sur un canapé-lit dans le salon d’un appartement d’une amie, alors qu’il était propriétaire d’une villa, sise en France voisine, où résidaient ses enfants. Certes, ces derniers étaient âgés de 23 et 22 ans à l’époque de son inscription à l’OCPM. Le recourant semble, par ailleurs, entretenir des liens privilégiés avec la Suisse, où sont nés ses enfants, où ils ont poursuivi leurs études post-obligatoires, où le recourant pratique des activités de loisirs, où il consulte ses médecins et bénéficie d’une assurance-maladie et où résident ses amis proches. Il n’en demeure pas moins que la chronologie des événements, soit la perte de son emploi le 29 octobre 2018, son inscription auprès de l’OCPM le 15 décembre 2018, suivie de sa demande de prestations à l’assurance-chômage le 11 janvier 2019, amène à questionner les motifs qui ont conduit le recourant à s’annoncer à l’OCPM. Les enquêtes n’ont pas réussi à convaincre la chambre de céans d’un déplacement du centre de ses intérêts personnels à Genève. Les témoins proposés par le recourant étaient des amis de longue date, de sorte que leur témoignage doit être apprécié avec circonspection. Ils connaissaient déjà l’appartement des C______ de par leur amitié avec la locataire de l’appartement, Mme B______. Leur connaissance de l’aménagement de l’appartement n’apporte ainsi aucun élément pouvant appuyer la thèse d’une résidence effective du recourant dans l’appartement des C______ lors de son inscription au chômage en janvier 2019. Ils ont certes indiqué avoir été invités à des soirées dans l’appartement, mais ce seul élément ne suffit pas pour admettre l’existence d’une résidence effective à Genève. Il existe par ailleurs des contradictions entre les déclarations du recourant, qui a affirmé en audience que ses enfants n’étaient jamais venus le voir dans l’appartement des C______ et celles de Mme L______, selon laquelle il arrivait que les enfants du recourant participent aux repas tenus dans l’appartement. On peine, par ailleurs, à suivre le recourant lorsqu’il indique passer tous ses week-ends dans sa villa en France, alors qu’il n’a pas de voiture à Genève et qu’il y circule exclusivement à</w:t>
      </w:r>
    </w:p>
    <w:p>
      <w:r>
        <w:t>A/2411/2019 - 12/15 - vélo. Il a certes expliqué effectuer ses trajets avec ses enfants, qui ont chacun un véhicule, tout en précisant qu’il ne les « croisait » qu’« occasionnellement ». S’ajoute à cela qu’avant les enquêtes, le recourant n’a jamais précisé qu’il dormait sur un canapé-lit dans le salon de l’appartement des C______. Il a d’ailleurs mentionné qu’il s’agissait d’un quatre pièces, laissant à penser qu’il y avait deux chambres fermées. Or, les enquêtes ont permis de révéler qu’il n’y avait qu’une chambre fermée, les autres pièces consistant en un salon, avec un coin bureau/bibliothèque, et une cuisine. La chambre de céans constate, au demeurant, qu’à l’issue de l’audience du</w:t>
      </w:r>
    </w:p>
    <w:p>
      <w:r>
        <w:rPr>
          <w:b/>
        </w:rPr>
        <w:t>E. 2</w:t>
      </w:r>
    </w:p>
    <w:p>
      <w:r>
        <w:t>Interjeté dans les forme et délai prévus par la loi, le recours est recevable (art. 56 ss LPGA).</w:t>
      </w:r>
    </w:p>
    <w:p>
      <w:r>
        <w:rPr>
          <w:b/>
        </w:rPr>
        <w:t>E. 3</w:t>
      </w:r>
    </w:p>
    <w:p>
      <w:r>
        <w:t>Le litige porte sur le bien-fondé de la décision de la caisse de nier au recourant le droit à l’indemnité de chômage, faute de domicile en Suisse.</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w:t>
      </w:r>
    </w:p>
    <w:p>
      <w:r>
        <w:rPr>
          <w:b/>
        </w:rPr>
        <w:t>E. 7</w:t>
      </w:r>
    </w:p>
    <w:p>
      <w:r>
        <w:t>Il convient encore d’examiner si l’intéressé, qui a travaillé en Suisse, peut déduire un droit aux prestations sur la base des règles de coordination européenne en matière d’assurance-chômage. a. 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w:t>
      </w:r>
    </w:p>
    <w:p>
      <w:r>
        <w:t>A/2411/2019 - 13/15 -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b. 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1ère et 2ème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 c. Dans un arrêt du 11 avril 2013 (C-443/11), la Cour de justice de l’Union européenne a jugé que, par suite de l'entrée en vigueur du règlement n° 883/2004</w:t>
      </w:r>
    </w:p>
    <w:p>
      <w:r>
        <w:t>A/2411/2019 - 14/15 -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 ATAS/909/2013). d. En application de la jurisprudence précitée, quand bien même l’intéressé aurait conservé avec la Suisse des liens personnels et professionnels tels qu’il disposerait dans cet État de meilleures chances de réinsertion professionnelle, c’est son pays de résidence, la France, qui doit lui verser des indemnités de chômage.</w:t>
      </w:r>
    </w:p>
    <w:p>
      <w:r>
        <w:rPr>
          <w:b/>
        </w:rPr>
        <w:t>E. 8</w:t>
      </w:r>
    </w:p>
    <w:p>
      <w:r>
        <w:t>C’est ainsi à juste titre que l’intimée a refusé de verser l’indemnité de chômage au recourant. Le recours doit donc être rejeté. Pour le surplus, la procédure est gratuite (art. 61 let. a LPGA et 89H al. 1 LPA). * * * * * *</w:t>
      </w:r>
    </w:p>
    <w:p>
      <w:r>
        <w:t>A/2411/2019 - 15/15 -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