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ATAS/856/2014 vom 9. Juli 2014</w:t>
      </w:r>
    </w:p>
    <w:p>
      <w:r>
        <w:t>GE Cour de justice, 2014-07-09, FR</w:t>
      </w:r>
    </w:p>
    <w:p>
      <w:r>
        <w:rPr>
          <w:b/>
        </w:rPr>
        <w:t xml:space="preserve">Quelle: </w:t>
      </w:r>
      <w:r>
        <w:t>https://mcp.opencaselaw.ch/entscheid/ge_gerichte_ATAS_856_2014</w:t>
      </w:r>
    </w:p>
    <w:p>
      <w:r>
        <w:t>FR: GE_GERICHTE ATAS/856/2014 du 9 juillet 2014</w:t>
      </w:r>
    </w:p>
    <w:p>
      <w:r>
        <w:t>IT: GE_GERICHTE ATAS/856/2014 del 9 luglio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w:t>
      </w:r>
    </w:p>
    <w:p>
      <w:r>
        <w:t>A/1773/2013 - 11/21 - transitoires contraires, le nouveau droit s'applique sans réserve dès le jour de son entrée en vigueur (ATF 117 V 93 consid. 6b, ATF 112 V 360 consid. 4a; RAMA 1998 KV 37 p. 316 consid. 3b). En l'espèce, les faits juridiquement déterminants remontent à 2011.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4</w:t>
      </w:r>
    </w:p>
    <w:p>
      <w:r>
        <w:t>Le délai de recours est de 30 jours. Interjeté dans la forme et le délai prévus par la loi, le recours est recevable (art. 56 à 61 LPGA).</w:t>
      </w:r>
    </w:p>
    <w:p>
      <w:r>
        <w:rPr>
          <w:b/>
        </w:rPr>
        <w:t>E. 5</w:t>
      </w:r>
    </w:p>
    <w:p>
      <w:r>
        <w:t>Le litige porte sur le droit du recourant à une rente d’invalidité et à des mesures d’ordre professionnel.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L’assuré a droit à une rente lorsqu’il a présenté une incapacité de travail (art. 6 LPGA) d’au moins 40% en moyenne durant une année sans interruption notable et qu’au terme de cette année, il est invalide (art. 8 LPGA) à 40% au moins (cf. art. 28</w:t>
      </w:r>
    </w:p>
    <w:p>
      <w:r>
        <w:t>A/1773/2013 - 12/21 -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 l’intégralité des prestations que s’il a présenté sa demande dans le délai de six mois à partir de la survenance de l’incapacité de gain. S’il le fait plus tard, il perd son droit pour chaque mois de retard (Arrêt du Tribunal fédéral 9C_432/2012 du 31 août 2012, consid. 3.3 ; Michel VALTERIO, Droit de l’assurance vieillesse et survivants et de l’assurance-invalidité, Genève/Zurich/Bâle 2011, n° 2187ss).</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w:t>
      </w:r>
    </w:p>
    <w:p>
      <w:r>
        <w:t>A/1773/2013 - 13/21 -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Un taux d’invalidité correspondant à l’incapacité de travail estimée par le médecin peut également être admise lors d’une incapacité de travail totale de l’assuré (Arrêt du Tribunal fédéral des assurances I 45/06 du 5 mars 2007 consid. 4.2.2).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A/1773/2013 - 14/21 -</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A/1773/2013 - 15/21 - sociales, un principe selon lequel l’administration ou le juge devrait statuer, dans le doute, en faveur de l’assuré (ATF 126 V 319 consid. 5a).</w:t>
      </w:r>
    </w:p>
    <w:p>
      <w:r>
        <w:rPr>
          <w:b/>
        </w:rPr>
        <w:t>E. 10</w:t>
      </w:r>
    </w:p>
    <w:p>
      <w:r>
        <w:t>Afin de se prononcer sur le droit éventuel du recourant à une rente d’invalidité, il convient tout d’abord de déterminer sa capacité de travail. Selon le Dr D______, le recourant a été en incapacité totale de travail dès le 14 janvier 2011, puis à 50% du 7 février au 6 mars 2011, date après laquelle il a recouvré une capacité de travail totale. Depuis le 16 avril 2011, il a été à nouveau totalement incapable de travailler dans son activité habituelle ; toutefois, sa capacité de travail était totale dans une profession et un lieu différents (cf. rapport du 16 mai 2012). La Dresse E______ a retenu que le recourant présentait une capacité de travail nulle du 16 avril 2011 au 31 mai 2012, puis entière dans une autre profession que sa profession habituelle (celle-ci étant devenue dangereuse pour son équilibre psychologique), à l’exclusion des domaines de la vente et de la logistique (cf. rapports des 10 juillet 2012, 19 mars et 27 novembre 2013). Pour sa part, le SMR a retenu une capacité de travail nulle du 16 avril 2011 au 31 mai 2012, puis complète dès le 1er juin 2012 dans l’activité habituelle, laquelle était également adaptée (rapports des 15 novembre 2012 et 9 décembre 2013). Au vu des conclusions essentiellement convergentes des différents médecins, la chambre de céans retiendra que le recourant a été totalement incapable de travailler de manière durable du 16 avril 2011 au 31 mai 2012, puis qu’il a retrouvé une pleine capacité de travail dès le 1er juin 2012. En effet, dès lors que le recourant a récupéré une capacité de travail totale pendant trente jours consécutifs au moins, soit du 7 mars 2011 au 15 avril 2011, il y a interruption notable de l’incapacité de travail (cf. art. 29 ter RAI). Bien qu’une légère divergence existe quant au type d’activité exigible dès le 1er juin 2012 (activité habituelle selon le SMR ; une autre activité selon les médecins du recourant), cette question peut rester ouverte dans la mesure où elle n’a pas d’incidence sur l’issue du litige, le degré d’invalidité du recourant étant en tout état de cause insuffisant pour lui donner droit à une rente d’invalidité et à des mesures de reclassement, comme on le verra ci-dessous. Vu ce qui précède, il s’avère superflu d’ordonner une expertise, par appréciation anticipée des preuves. On soulignera à cet égard que ce n’est que lorsqu’il n’est pas possible de prendre une décision uniquement sur la base des renseignements de l’assuré ou de tiers que la mise en œuvre d’autres moyens de preuve s’impose (Stéphane BLANC, La procédure administrative en assurance-invalidité, thèse, Fribourg 1999, p. 124). Tel n'est pas le cas en l'espèce, les rapports médicaux permettant de statuer sur le degré d'invalidité du recourant.</w:t>
      </w:r>
    </w:p>
    <w:p>
      <w:r>
        <w:rPr>
          <w:b/>
        </w:rPr>
        <w:t>E. 11</w:t>
      </w:r>
    </w:p>
    <w:p>
      <w:r>
        <w:t>a) Dans l’hypothèse la plus favorable au recourant, en admettant qu’il ait présenté une capacité de travail nulle du 16 avril 2011 au 31 mai 2012 dans toute activité, puis entière dès le 1er juin 2012 dans une profession autre que son activité habituelle, en-dehors des domaines de la vente et de la logistique conformément</w:t>
      </w:r>
    </w:p>
    <w:p>
      <w:r>
        <w:t>A/1773/2013 - 16/21 - aux conclusions de la Dresse E______, le calcul de son degré d’invalidité se présenterait comme suit. b) La comparaison des revenus doit être effectuée au moment du changement important de la capacité de travail ayant une incidence sur la capacité de gain (Arrêt du Tribunal fédéral I 95/07 du 15 février 2008, consid. 5) puis de la naissance du droit à la rente. En l’occurrence, le changement important de la capacité de travail est intervenu en juin 2012 et le droit éventuel à la rente est né en septembre 2012, dès lors que la demande de prestation a été déposée en mars 2012. Il convient ainsi de se placer en 2012 pour procéder à la comparaison des revenus. c) Pour la période du 16 avril 2011 au 31 mai 2012, le recourant a été totalement incapable de travailler dans toute activité. Dans un tel cas de figure, le degré d’invalidité se confond exceptionnellement avec celui de l’incapacité de travail (Arrêt du Tribunal fédéral des assurances I 45/06 du 5 mars 2007 consid. 4.2.2). Par conséquent, le recourant a présenté un degré d’invalidité de 100% durant la période précitée. d) Dès le 1er juin 2012, selon la Dresse E______, ce dernier avait retrouvé une pleine capacité de travail dans une profession autre que son activité habituelle. À partir de cette date, une comparaison des revenus doit être effectuée, le degré d’invalidité ne se confondant plus avec l’incapacité de travail. Le revenu sans invalidité doit être déterminé sur la base des déclarations du dernier employeur du recourant. Celui-ci a déclaré que sans atteinte à la santé, il aurait perçu un revenu annuel de CHF 71'742.– en 2012. Ce montant apparaît cohérent en comparaison des revenus déclarés jusqu’en 2010 selon l’extrait de compte individuel AVS et sera ainsi retenu à titre de revenu sans invalidité. En ce qui concerne le revenu d’invalide, il convient de se fonder sur les salaires résultant de l’Enquête suisse sur la structure des salaires (ci-après l’ESS), le recourant n’ayant pas repris son activité lucrative depuis le mois d’avril 2011. Pour calculer le revenu d’invalide en 2012, il convient de retenir le revenu mensuel standardisé d’un homme exerçant une activité simple et répétitive (tableau TA1, niveau de qualification 4, ligne total, homme, part au 13ème salaire comprise) selon l’ESS 2010, qui s’élève à CHF 4'901.–. Ce salaire hypothétique, calculé sur la base d’un horaire hebdomadaire de travail de 40 heures, doit encore être adapté à l’horaire de travail en 2012, lequel est de 41.7 heures (cf. Tableau « durée normale du travail dans les entreprises selon la division économique » de l’Office fédéral de la statistique) et à l’indice suisse des salaires nominaux (ISS ; en 2010 : 2’151 et en 2012 : 2’188). On obtient ainsi pour l’année 2012 un revenu annuel brut de CHF 62'366.–. De plus, il n’y a pas lieu de tenir compte d’un abattement sur ce montant, les critères prévus par la jurisprudence n’étant pas réalisés. Dès le 1er juin 2012, dans l’hypothèse la plus favorable au recourant, son degré d’invalidité s’élèverait ainsi à 13,07 % (100 x (71'742 – 62'366) / 71'742).</w:t>
      </w:r>
    </w:p>
    <w:p>
      <w:r>
        <w:t>A/1773/2013 - 17/21 - e) Vu ce qui précède, le degré d’invalidité s’est élevé à 100% du 16 avril 2011 au 31 mai 2012, puis à 13,07% dès le 1er juin 2012. À l’issue du délai de carence d’un an au 16 avril 2012, le recourant présentait donc une incapacité de travail et de gain totale, qui lui ouvrait théoriquement le droit à une rente d’invalidité jusqu’au 31 août 2012, la rente étant supprimée le 1er septembre 2012, trois mois après l’amélioration de sa capacité de gain (art. 28 LAI, 88a al. 1 RAI). Conformément à l’art. 29 al. 1 LAI, son droit à la rente ne pouvait toutefois naître avant le 1er septembre 2012, soit à l’échéance d’un délai de six mois dès le dépôt de sa demande de prestations. En application de cette disposition, et dans la mesure où il n’a déposé sa demande que le 7 mars 2012, le recourant a donc perdu son droit à la rente pour les mois d’avril à août 2012 (Michel VALTERIO, op. cit., n° 2190). Partant, c’est à juste titre que l’intimée a nié le droit du recourant à une rente d’invalidité.</w:t>
      </w:r>
    </w:p>
    <w:p>
      <w:r>
        <w:rPr>
          <w:b/>
        </w:rPr>
        <w:t>E. 12</w:t>
      </w:r>
    </w:p>
    <w:p>
      <w:r>
        <w:t>Il convient à présent de se prononcer sur son droit à d’éventuelles mesures d’ordre professionnel. a)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w:t>
      </w:r>
    </w:p>
    <w:p>
      <w:r>
        <w:t>A/1773/2013 - 18/21 -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Le seuil minimum fixé par la jurisprudence pour ouvrir droit à une mesure de reclassement est une diminution de la capacité de gain de l’ordre de 20% (ATF 124 V 108 consid. 2b et les références), mais elle n'a jamais fait mention d'une telle condition s'agissant des autres mesures d'ordre professionnel prévues par la loi (Arrêt du Tribunal fédéral 9C_385/2009 du 13 octobre 2009). b) En l’espèce, force est de constater que le recourant ne peut prétendre à une mesure de reclassement, dès lors qu’il présente, depuis le 1er juin 2012, un degré d’invalidité inférieur au seuil de 20% fixé par la jurisprudence. Il reste à examiner si ce dernier a droit à une mesure d’orientation professionnelle ou d’aide au placement. c)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Dans un arrêt non publié du 10 février 2011, le Tribunal fédéral a considéré que c’était à juste titre que l’OAI avait refusé de mettre un assuré, qui n’était plus en mesure d’exercer ses activités antérieures en raison de problèmes au dos, au bénéfice d’une orientation professionnelle. Notre Haute Cour a en effet considéré</w:t>
      </w:r>
    </w:p>
    <w:p>
      <w:r>
        <w:t>A/1773/2013 - 19/21 - que compte tenu du caractère relativement anodin de l'atteinte à la santé, les propositions formulées par le service de réadaptation de l'office quant aux types d'activités que l'on pouvait raisonnablement exiger de la part de l’assuré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Dans ces conditions, l'octroi d'une mesure d'orientation professionnelle financée par l'assurance-invalidité apparaissait superflue (arrêt du Tribunal fédéral 9C_534/2010 du 10 février 2011, consid. 4). d) En l’espèce, il sied de relever que les limitations retenues par les médecins du recourant sont légères, voire inexistantes (cf. rapports du Dr D______ du 14 mai 2012, rapport de la Dresse E______ du 10 juillet 2012). Dans la mesure où le marché du travail offre un éventail suffisamment large d’activités légères, dont un nombre significatif sont, à l’évidence, adaptées à ses limitations et accessibles sans formation particulière, il n’y a guère d’obstacle pour le recourant à l’exercice d’un emploi adapté à ses problèmes de santé. Par ailleurs, on remarquera que ce dernier est inscrit auprès de l’assurance-chômage et qu’il effectue, depuis le 21 octobre 2013, un stage auprès de l’office cantonal de la population et des migrations, apparemment en qualité de commis administratif. Pour ces motifs, et dans la mesure où il a manifestement déjà fait le choix d’une profession, le recourant n’a pas droit à une mesure d’orientation professionnelle. Il convient enfin d’examiner son droit éventuel à une mesure d’aide au placement. e)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w:t>
      </w:r>
    </w:p>
    <w:p>
      <w:r>
        <w:t>A/1773/2013 - 20/21 -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f) En l’espèce, la chambre de céans constate, d’une part, que le recourant est capable selon ses médecins d’exercer une activité adaptée à plein temps, d’autre part que ses limitations sont légères voire inexistantes, comme mentionné ci-dessus. Dès lors, il y a lieu d’admettre que celles-ci ne l’entravent pas dans sa recherche de travail, comme en témoigne le stage obtenu auprès de l’office cantonal de la population et des migrations. Le recourant n’a au demeurant jamais formulé de requête motivée en vue d’une aide au placement. Partant, son droit à une mesure d’aide au placement doit également être nié.</w:t>
      </w:r>
    </w:p>
    <w:p>
      <w:r>
        <w:rPr>
          <w:b/>
        </w:rPr>
        <w:t>E. 13</w:t>
      </w:r>
    </w:p>
    <w:p>
      <w:r>
        <w:t>Vu ce qui précède, le recours, mal fondé, doit être rejeté. La procédure n’étant pas gratuite (art. 69 al. 1bis LAI), il y a lieu de condamner le recourant au paiement d'un émolument de CHF 200.–.</w:t>
      </w:r>
    </w:p>
    <w:p>
      <w:r>
        <w:t>A/1773/2013 - 21/21 -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