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ATAS/855/2022 vom 29. September 2022</w:t>
      </w:r>
    </w:p>
    <w:p>
      <w:r>
        <w:t>GE Cour de justice, 2022-09-29, FR</w:t>
      </w:r>
    </w:p>
    <w:p>
      <w:r>
        <w:rPr>
          <w:b/>
        </w:rPr>
        <w:t xml:space="preserve">Quelle: </w:t>
      </w:r>
      <w:r>
        <w:t>https://mcp.opencaselaw.ch/entscheid/ge_gerichte_ATAS_855_2022</w:t>
      </w:r>
    </w:p>
    <w:p>
      <w:r>
        <w:t>FR: GE_GERICHTE ATAS/855/2022 du 29 septembre 2022</w:t>
      </w:r>
    </w:p>
    <w:p>
      <w:r>
        <w:t>IT: GE_GERICHTE ATAS/855/2022 del 29 settembre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t>A/3229/2021 - 5/9 -</w:t>
      </w:r>
    </w:p>
    <w:p>
      <w:r>
        <w:rPr>
          <w:b/>
        </w:rPr>
        <w:t>E. 2</w:t>
      </w:r>
    </w:p>
    <w:p>
      <w:r>
        <w:t>Sa compétence pour juger du cas d’espèce est ainsi établie.</w:t>
      </w:r>
    </w:p>
    <w:p>
      <w:r>
        <w:rPr>
          <w:b/>
        </w:rPr>
        <w:t>E. 3</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4</w:t>
      </w:r>
    </w:p>
    <w:p>
      <w:r>
        <w:t>Interjeté dans le délai et les formes prévues par la loi (art. 60 al. 1 LPGA; art. 43 LPCC; art. 62 al. 1 let. a de la loi sur la procédure administrative du 12 septembre 1985 [LPA- E 5 10]) le recours est recevable.</w:t>
      </w:r>
    </w:p>
    <w:p>
      <w:r>
        <w:rPr>
          <w:b/>
        </w:rPr>
        <w:t>E. 5</w:t>
      </w:r>
    </w:p>
    <w:p>
      <w:r>
        <w:t>Le litige porte uniquement sur la prise en considération, dans le calcul du revenu déterminant de la recourante, des contributions d'entretien dues par son ex-époux, que ces dernières aient été versées ou non.</w:t>
      </w:r>
    </w:p>
    <w:p>
      <w:r>
        <w:rPr>
          <w:b/>
        </w:rPr>
        <w:t>E. 6</w:t>
      </w:r>
    </w:p>
    <w:p>
      <w:r>
        <w:t>Sur le plan cantonal, ont droit aux prestations complémentaires cantonales les personnes qui remplissent les conditions de l’art. 2 LPCC et dont le revenu annuel déterminant n'atteint pas le revenu minimum cantonal d'aide sociale applicable (art. 4 LPCC).</w:t>
      </w:r>
    </w:p>
    <w:p>
      <w:r>
        <w:rPr>
          <w:b/>
        </w:rPr>
        <w:t>E. 7.1</w:t>
      </w:r>
    </w:p>
    <w:p>
      <w:r>
        <w:t>Le montant annuel de la prestation complémentaire cantonale correspond à la différence entre les dépenses reconnues et le revenu annuel déterminant de l'intéressé (art. 15 al. 1 LPCC).</w:t>
      </w:r>
    </w:p>
    <w:p>
      <w:r>
        <w:rPr>
          <w:b/>
        </w:rPr>
        <w:t>E. 7.2</w:t>
      </w:r>
    </w:p>
    <w:p>
      <w:r>
        <w:t>Le revenu déterminant comprend notamment les pensions alimentaires prévues par le droit de la famille, ainsi que les ressources et parts de fortune dont un ayant droit s’est dessaisi (art. 11 al. 1 let. g et h LPC, par renvoi de l’art. 36E al. 1 LPCC et 36E al. 6 LPCC).</w:t>
      </w:r>
    </w:p>
    <w:p>
      <w:r>
        <w:rPr>
          <w:b/>
        </w:rPr>
        <w:t>E. 8.1</w:t>
      </w:r>
    </w:p>
    <w:p>
      <w:r>
        <w:t>Il y a lieu de prendre en compte dans le revenu déterminant tout dessaisissement sans limite de temps (Pierre FERRARI, Dessaisissement volontaire et prestations complémentaires à l'AVS/AI in RSAS 2002, p. 420).</w:t>
      </w:r>
    </w:p>
    <w:p>
      <w:r>
        <w:rPr>
          <w:b/>
        </w:rPr>
        <w:t>E. 8.2</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(ATF 123 V 35 consid. 1).</w:t>
      </w:r>
    </w:p>
    <w:p>
      <w:r>
        <w:t>A/3229/2021 - 6/9 -</w:t>
      </w:r>
    </w:p>
    <w:p>
      <w:r>
        <w:rPr>
          <w:b/>
        </w:rPr>
        <w:t>E. 9.1</w:t>
      </w:r>
    </w:p>
    <w:p>
      <w:r>
        <w:t>Selon la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des assurances P.68/02 du 11 février 2004 consid. 3.2).</w:t>
      </w:r>
    </w:p>
    <w:p>
      <w:r>
        <w:rPr>
          <w:b/>
        </w:rPr>
        <w:t>E. 9.2</w:t>
      </w:r>
    </w:p>
    <w:p>
      <w:r>
        <w:t>On peut toutefois s'écarter de cette règle et admettre le caractère irrécouvrable d'une créance même en l'absence de démarches en vue de son recouvrement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précité consid. 3.2 et les références).</w:t>
      </w:r>
    </w:p>
    <w:p>
      <w:r>
        <w:rPr>
          <w:b/>
        </w:rPr>
        <w:t>E. 10.1</w:t>
      </w:r>
    </w:p>
    <w:p>
      <w:r>
        <w:t>Concernant le recouvrement des pensions alimentaires, il convient de rappeler que, sur demande d’une personne crédirentière d’une pension alimentaire, le service cantonal d’avance et de recouvrement des pensions alimentaires (ci-après :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(al. 2). Ladite convention n’a pas d’effets rétroactifs (al. 3).</w:t>
      </w:r>
    </w:p>
    <w:p>
      <w:r>
        <w:rPr>
          <w:b/>
        </w:rPr>
        <w:t>E. 10.2</w:t>
      </w:r>
    </w:p>
    <w:p>
      <w:r>
        <w:t>Selon la jurisprudence, l’échec des procédures de recouvrement engagées ou le domicile à l’étranger du débiteur ne sont pas des motifs permettant au SCARPA de mettre fin unilatéralement à son assistance, à tout le moins lorsque le domicile est connu et que l’État de résidence est, à l’instar de la Suisse, signataire de la Convention sur le recouvrement des aliments à l’étranger, conclue à New-York le 20 juin 1956 (Convention de New-York – RS 0.274.15) et que le SCARPA ne mentionne pas avoir entrepris de démarche auprès des autorités suisses compétentes en vue de faire activer les mécanismes de recouvrement prévus par la</w:t>
      </w:r>
    </w:p>
    <w:p>
      <w:r>
        <w:t>A/3229/2021 - 7/9 - Convention de New-York (ATAS/53/2022 du 26 janvier 2022 consid. 5.1; ATA/880/2016 du 18 octobre 2016 consid. 2).</w:t>
      </w:r>
    </w:p>
    <w:p>
      <w:r>
        <w:rPr>
          <w:b/>
        </w:rPr>
        <w:t>E. 11.1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rPr>
          <w:b/>
        </w:rPr>
        <w:t>E. 11.2</w:t>
      </w:r>
    </w:p>
    <w:p>
      <w:r>
        <w:t>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w:t>
      </w:r>
    </w:p>
    <w:p>
      <w:r>
        <w:rPr>
          <w:b/>
        </w:rPr>
        <w:t>E. 11.3</w:t>
      </w:r>
    </w:p>
    <w:p>
      <w:r>
        <w:t>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A/3229/2021 - 8/9 -</w:t>
      </w:r>
    </w:p>
    <w:p>
      <w:r>
        <w:rPr>
          <w:b/>
        </w:rPr>
        <w:t>E. 13.1</w:t>
      </w:r>
    </w:p>
    <w:p>
      <w:r>
        <w:t>En ce qui concerne l'établissement des faits pertinents, les pièces transmises par les parties permettent de retenir l’existence d’un jugement exécutoire du TPI condamnant le père de B______ à verser une pension alimentaire à la recourante. La recourante ne conteste pas ce point, mais allègue que les pensions alimentaires ne lui ont pas été versées. Néanmoins, et malgré le fait qu’elle a été invitée par la chambre de céans, à deux reprises, à fournir les pièces permettant d’établir qu’elle avait mené des démarches en vue de recouvrer lesdites pensions alimentaires, la recourante n’a pas démontré avoir entamé de telles démarches ou s’être adressée au SCARPA qui, par hypothèse, aurait mené, en vain, les démarches idoines. Compte tenu de ce qui précède et conformément à la jurisprudence du Tribunal fédéral, il convient de retenir que la recourante s’est dessaisie des montants des pensions alimentaires qui lui sont dues.</w:t>
      </w:r>
    </w:p>
    <w:p>
      <w:r>
        <w:rPr>
          <w:b/>
        </w:rPr>
        <w:t>E. 13.2</w:t>
      </w:r>
    </w:p>
    <w:p>
      <w:r>
        <w:t>Dès lors, la prise en compte de ces montants dans les plans de calcul du SPC est bien fondée. Compte tenu de ce qui précède, la chambre de céans n’a d’autre choix que de rejeter le recours.</w:t>
      </w:r>
    </w:p>
    <w:p>
      <w:r>
        <w:rPr>
          <w:b/>
        </w:rPr>
        <w:t>E. 14</w:t>
      </w:r>
    </w:p>
    <w:p>
      <w:r>
        <w:t>Pour le surplus, la procédure est gratuite (art. 61 let. fbis LPGA et 89H al. 1 LPA).</w:t>
      </w:r>
    </w:p>
    <w:p>
      <w:r>
        <w:t>A/3229/2021 - 9/9 -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