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ATAS/855/2021 vom 23. August 2021</w:t>
      </w:r>
    </w:p>
    <w:p>
      <w:r>
        <w:t>GE Cour de justice, 2021-08-23, FR</w:t>
      </w:r>
    </w:p>
    <w:p>
      <w:r>
        <w:rPr>
          <w:b/>
        </w:rPr>
        <w:t xml:space="preserve">Quelle: </w:t>
      </w:r>
      <w:r>
        <w:t>https://mcp.opencaselaw.ch/entscheid/ge_gerichte_ATAS_855_2021</w:t>
      </w:r>
    </w:p>
    <w:p>
      <w:r>
        <w:t>FR: GE_GERICHTE ATAS/855/2021 du 23 août 2021</w:t>
      </w:r>
    </w:p>
    <w:p>
      <w:r>
        <w:t>IT: GE_GERICHTE ATAS/855/2021 del 23 agosto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On ne saurait d'ailleurs suivre le recourant lorsqu'il prétend que cet arrêt aurait constitué un changement de jurisprudence par rapport à celle qu'il invoque, et devrait être écarté, dans la mesure où, en rendant son arrêt, la chambre de céans n'avait apparemment pas tenu compte des exigences de l'art. 118A al. 1 LOJ; il voudrait en déduire que ce « changement de jurisprudence » ne saurait être considéré comme valable, et que partant, la chambre de céans devrait faire application de l'ancienne jurisprudence et constater que le recourant était de bonne foi. Non seulement, comme on l'a vu, ces deux jurisprudences ne sont pas contradictoires, les solutions respectivement adoptées reposant sur des états de fait différents, - et en cela le second arrêt ne consacrait pas de changement de jurisprudence - mais de surcroît, comme semble le soutenir le recourant, à supposer même que l'on pût considérer l'arrêt de 2018 comme un changement de jurisprudence - ce qui, une fois encore, n'est pas le cas en l'occurrence - on ne pourrait prendre en compte une violation de l'art. 118A al. 2 LOJ au motif que la procédure de coordination qui y est prévue n'aurait pas été engagée. Dans un recours à l’encontre d’un arrêt de la chambre pénale de recours de la Cour de justice de Genève, lequel rejetait son recours contre l’ordonnance fixant l’indemnisation de son stagiaire, un avocat s’était plaint devant le Tribunal fédéral d’une violation de l’art. 118A al. 2 LOJ, au motif que la procédure de coordination prévue n’avait pas été engagée. Notre Haute Cour a retenu que le fait que la juridiction cantonale doive requérir l'accord des chambres intéressées réunies en vertu de cette disposition cantonale ne changeait rien au fait qu’elle était seule compétente pour rendre l’arrêt attaqué, et que le non-respect invoqué de l’art. 118A al. 2 LOJ ne rendait pas contraire à la loi la composition de cette autorité, de sorte qu’il n’y avait pas de violation de l’art. 30 al. 1 de la Constitution fédérale de la Confédération suisse du 18 avril 1999 (Cst. - RS 101) (arrêt du Tribunal fédéral 6B_102/2016 du 9 février 2017 consid.1.4; ATAS/76/2021 du 8 février 2021 consid. 6 et autres ref. citées).</w:t>
      </w:r>
    </w:p>
    <w:p>
      <w:r>
        <w:rPr>
          <w:b/>
        </w:rPr>
        <w:t>E. 7</w:t>
      </w:r>
    </w:p>
    <w:p>
      <w:r>
        <w:t>En comparution personnelle, le recourant, par la voix de son conseil, a observé ne pas comprendre pourquoi, par rapport à Mme D______, le SPC prétendait ne prendre en compte pour lui qu'un demi-loyer, ce qui ne semblait pas être le cas par rapport à la situation actuelle : un autre bénéficiaire du SPC, M. F______, habitait dans l'appartement de son mandant, en toute transparence par rapport au SPC. Il ressortait en effet des dernières décisions concernant son mandant (décembre 2019 pour la période dès le 1er janvier 2020), qu'apparemment le SPC payait directement l'intégralité du loyer à la régie (paiement direct sur les PC attribuées à son client); pourtant, dans les dépenses reconnues, on ne prenait en compte que la moitié du loyer. Or le recourant ne recevait rien du SPC, à titre de participation de M. F______ au loyer; de plus, dans un courrier du 28 novembre 2019 à son mandant, auquel était annexée une décision du même jour, le SPC précisait qu'il ne s'occupait pas du paiement d'un loyer fractionné directement à la régie.</w:t>
      </w:r>
    </w:p>
    <w:p>
      <w:r>
        <w:t>A/2549/2019 - 17/18 - Il ressort toutefois de l'instruction complémentaire ordonnée après l'audience que la situation actuelle - étrangère à l'objet du litige - n'a aucune incidence sur l'issue de la présente cause. Le fait que le SPC payait directement l'intégralité du loyer à la régie, ce montant étant intégralement prélevé des PC allouées au recourant, n'a en effet aucune incidence sur le principe de la bonne foi. Certes, et on l'a vu dans ce dossier, le SPC, contrairement à ce qu'alléguait sa représentante à l'audience et dans sa détermination écrite, a bien réglé le loyer de l'appartement que le recourant occupait à l'époque avec la mère de son enfant, en deux versements d'égal montant couvrant l'intégralité du loyer, dans la mesure où l'un et l'autre étaient bénéficiaires de PC, sur la base de deux dossiers distincts. Ces modalités étaient appliquées tant à l'époque de l'OCPA que par la suite par le SPC. Lorsque le recourant avait en revanche disposé d'un appartement pour lui seul, le SPC avait alors réglé l'intégralité du loyer auprès de la régie, modalité de versement qui semble s'être poursuivie, à l'époque de la cohabitation avec Mme D______ - mais il faut rappeler qu'à l'époque, l'intimé n'était pas informé de la présence de cette dernière dans l'appartement du recourant, lequel n'avait au demeurant aucun motif de demander au SPC de modifier cette manière de faire, dès lors qu'il ne réclamait pas de participation au loyer à Mme D______. À ce propos, comme cela a été rappelé précédemment, l'un des buts poursuivis par cette obligation de renseigner, et la prise en compte du nombre de personnes occupant le logement, est précisément d'éviter que par ce biais, les PC financent (indirectement) les frais de logement de personnes non bénéficiaires des PC. Le paiement direct de l'intégralité du loyer à la régie par le SPC semble avoir perduré malgré le fait que M. F______ partageait le logement du recourant, mais, comme l'intimé l'a relevé dans ses écritures, une simple demande de modification au service des mutations permettrait d'en changer. Quoi qu'il en soit, il appartenait, le cas échéant au recourant, de réclamer à M. F______ sa participation au loyer, et non pas au SPC de verser spontanément cette participation au recourant, comme ce dernier semble le soutenir.</w:t>
      </w:r>
    </w:p>
    <w:p>
      <w:r>
        <w:rPr>
          <w:b/>
        </w:rPr>
        <w:t>E. 8</w:t>
      </w:r>
    </w:p>
    <w:p>
      <w:r>
        <w:t>Au vu de ce qui précède, la première condition nécessaire à ce que l'on puisse envisager d'accorder à l'administré une remise de l'obligation de restitution, soit la bonne foi, a, à juste titre été niée par l'intimé. Dès lors, la seconde condition (situation financière difficile), qui doit être réalisée cumulativement avec la première, n'avait pas à être examinée par l'intimé, ni préjudiciellement, comme le soutient le recourant, et pas davantage après avoir nié l'existence de la bonne foi en l'espèce.</w:t>
      </w:r>
    </w:p>
    <w:p>
      <w:r>
        <w:rPr>
          <w:b/>
        </w:rPr>
        <w:t>E. 9</w:t>
      </w:r>
    </w:p>
    <w:p>
      <w:r>
        <w:t>En tout point mal fondé, le recours doit être rejeté.</w:t>
      </w:r>
    </w:p>
    <w:p>
      <w:r>
        <w:rPr>
          <w:b/>
        </w:rPr>
        <w:t>E. 10</w:t>
      </w:r>
    </w:p>
    <w:p>
      <w:r>
        <w:t>Pour le surplus, la procédure est gratuite.</w:t>
      </w:r>
    </w:p>
    <w:p>
      <w:r>
        <w:t>A/2549/2019 - 18/18 -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