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ATAS/855/2016 vom 24. Oktober 2016</w:t>
      </w:r>
    </w:p>
    <w:p>
      <w:r>
        <w:t>GE Cour de justice, 2016-10-24, FR</w:t>
      </w:r>
    </w:p>
    <w:p>
      <w:r>
        <w:rPr>
          <w:b/>
        </w:rPr>
        <w:t xml:space="preserve">Quelle: </w:t>
      </w:r>
      <w:r>
        <w:t>https://mcp.opencaselaw.ch/entscheid/ge_gerichte_ATAS_855_2016</w:t>
      </w:r>
    </w:p>
    <w:p>
      <w:r>
        <w:t>FR: GE_GERICHTE ATAS/855/2016 du 24 octobre 2016</w:t>
      </w:r>
    </w:p>
    <w:p>
      <w:r>
        <w:t>IT: GE_GERICHTE ATAS/855/2016 del 24 ottobre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au cas d'espèce.</w:t>
      </w:r>
    </w:p>
    <w:p>
      <w:r>
        <w:rPr>
          <w:b/>
        </w:rPr>
        <w:t>E. 3</w:t>
      </w:r>
    </w:p>
    <w:p>
      <w:r>
        <w:t>Il s'agit en l'occurrence d'examiner la recevabilité du recours. 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art.89C LPA).</w:t>
      </w:r>
    </w:p>
    <w:p>
      <w:r>
        <w:t>A/3089/2016 - 4/6 -</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En l'occurrence, il n'est pas contesté que le recours a été interjeté après le délai de trente jours dès sa réception. La recourante affirme dans son recours avoir reçu la décision « le 14 juillet 2016 ». Il est toutefois hautement vraisemblable qu’elle ne l’ait en réalité reçue que le lendemain au plus tôt voire quelques jours plus tard, ce qui ne changerait rien en l’occurrence à la computation du délai de recours en tenant compte de la suspension estivale des délais. Quoi qu'il en soit, la recourante n'allègue pas que la décision litigieuse lui aurait été communiquée au-delà du 15 août 2016, de sorte que quelle que soit la date de réception entre le 14 juillet et le 15 août la solution du litige ne serait pas différente. En effet, compte tenu de la suspension du délai de recours du 15 juillet au 15 août inclusivement, le délai de recours n’a commencé à courir que le 16 août 2016 (mois comptant 31 jours) ; ainsi l'échéance du délai de trente jours pour interjeter recours arrivait à échéance le 14 septembre 2016 au plus tard, ce qu'admet d'ailleurs</w:t>
      </w:r>
    </w:p>
    <w:p>
      <w:r>
        <w:t>A/3089/2016 - 5/6 - expressément la recourante. Interjeté par courrier, recommandé du 15 septembre 2016 selon le cachet de la poste, il est tardif.</w:t>
      </w:r>
    </w:p>
    <w:p>
      <w:r>
        <w:rPr>
          <w:b/>
        </w:rPr>
        <w:t>E. 4</w:t>
      </w:r>
    </w:p>
    <w:p>
      <w:r>
        <w:t>Reste à examiner si une restitution de délai peut être accordée. Tel peut être le cas, de manière exceptionnelle, à condition que le requérant ait été empêché, sans sa faute, d’agir dans le délai fixé (art. 41 LPGA/art. 16 al. 3 LPA) et pour autant qu’une demande de restitution motivée, indiquant la nature de l’empêchement, soit présentée dans les 30/10 jours à compter de celui où il a cessé. Il s’agit-là de dispositions impératives auxquelles il ne peut être dérogé (Jurisprudence des autorités administratives de la Confédération [JAAC] 60/1996, consid. 5.4, p. 367 ; ATF 119 II 87 consid. 2a; ATF 112 V 256 consid. 2a). En l'espèce, une restitution du délai de recours au sens de l'art. 41 al. 1 LPGA ne se justifie pas. En effet, l’on ne peut considérer que la recourante ait été empêchée sans sa faute d’agir dans le délai fixé. Dans son courrier du 7 octobre 2016, elle ne conteste pas avoir acheminé son recours avec un jour de retard. Le motif d’empêchement qu’elle invoque - soit le fait d’avoir absolument voulu présenter son courrier à son médecin traitant pour avoir son avis avant de l’envoyer - ne saurait constituer un motif valable. Elle ne saurait davantage se prévaloir du fait que, pour des raisons qu’elle ignorait, son médecin aurait déplacé par deux fois le rendez-vous initialement fixé au début septembre. En effet, et à supposer même – ce qui ne paraît pas être le cas en l’espèce –, que le comportement de la doctoresse puisse être imputé à faute de cette dernière, cela ne changerait rien à l’issue du litige : de jurisprudence constante, un justiciable doit se laisser opposer les erreurs commises par son mandataire ou ses auxiliaires (cf notamment ATF 114 Ib 67 ss consid. 2 et 3 p. 69/70 et ref. citées; 107 Ia 168 consid. 2 p. 169 ss), de sorte qu’il n’apparaît pas nécessaire de solliciter du médecin la confirmation des explications de la recourante. Cette dernière ne saurait pas non plus protester de sa bonne foi en ayant posté le recommandé le 15 septembre, en croyant (à tort) qu’elle était « dans la dernière minute de sa recevabilité.» En l'absence de motif valable de restitution de délai, le recours doit être déclaré irrecevable pour cause de tardiveté.</w:t>
      </w:r>
    </w:p>
    <w:p>
      <w:r>
        <w:rPr>
          <w:b/>
        </w:rPr>
        <w:t>E. 5</w:t>
      </w:r>
    </w:p>
    <w:p>
      <w:r>
        <w:t>Bien que la procédure ne soit pas gratuite en matière d'assurance-invalidité (art. 69 al.1bis LAI), la chambre de céans renoncera à la perception d'un émolument, compte tenu de l'issue du recours.</w:t>
      </w:r>
    </w:p>
    <w:p>
      <w:r>
        <w:t>A/3089/2016 - 6/6 -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