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ATAS/855/2012 vom 26. Juni 2012</w:t>
      </w:r>
    </w:p>
    <w:p>
      <w:r>
        <w:t>GE Cour de justice, 2012-06-26, FR</w:t>
      </w:r>
    </w:p>
    <w:p>
      <w:r>
        <w:rPr>
          <w:b/>
        </w:rPr>
        <w:t xml:space="preserve">Quelle: </w:t>
      </w:r>
      <w:r>
        <w:t>https://mcp.opencaselaw.ch/entscheid/ge_gerichte_ATAS_855_2012</w:t>
      </w:r>
    </w:p>
    <w:p>
      <w:r>
        <w:t>FR: GE_GERICHTE ATAS/855/2012 du 26 juin 2012</w:t>
      </w:r>
    </w:p>
    <w:p>
      <w:r>
        <w:t>IT: GE_GERICHTE ATAS/855/2012 del 26 giugno 2012</w:t>
      </w:r>
    </w:p>
    <w:p>
      <w:pPr>
        <w:pStyle w:val="Heading2"/>
      </w:pPr>
      <w:r>
        <w:t>Erwägungen</w:t>
      </w:r>
    </w:p>
    <w:p>
      <w:r>
        <w:rPr>
          <w:b/>
        </w:rPr>
        <w:t>E. 1</w:t>
      </w:r>
    </w:p>
    <w:p>
      <w:r>
        <w:t>Conformément à l'art. 134 al. 1 let. ch.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w:t>
      </w:r>
    </w:p>
    <w:p>
      <w:r>
        <w:rPr>
          <w:b/>
        </w:rPr>
        <w:t>E. 2</w:t>
      </w:r>
    </w:p>
    <w:p>
      <w:r>
        <w:t>A teneur de l'art. 89I al. 2 et 3 de la loi sur la procédure administrative, du 12 septembre 1985 (LPA; RS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Selon l'art. 81 LPA, la demande de révision doit être adressée par écrit à la juridiction qui a rendu la décision dans les 3 mois dès la découverte du motif de révision, mais au plus tard dans les 10 ans à compter de la notification de la décision. Le cas de révision de l’article 80, lettre a, est réservé. Dans ce cas, la révision peut avoir lieu d’office, notamment sur communication du Ministère public.</w:t>
      </w:r>
    </w:p>
    <w:p>
      <w:r>
        <w:rPr>
          <w:b/>
        </w:rPr>
        <w:t>E. 3</w:t>
      </w:r>
    </w:p>
    <w:p>
      <w:r>
        <w:t>Selon l’art. 53 al. 2 LPGA, qui formalise un principe général du droit des assurances sociales, l’administration peut reconsidérer une décision ou une décision</w:t>
      </w:r>
    </w:p>
    <w:p>
      <w:r>
        <w:t>A/866/2007 - 6/8 -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w:t>
      </w:r>
    </w:p>
    <w:p>
      <w:r>
        <w:rPr>
          <w:b/>
        </w:rPr>
        <w:t>E. 4</w:t>
      </w:r>
    </w:p>
    <w:p>
      <w:r>
        <w:t>Lorsque le tribunal estime que le motif de révision est établi, il doit annuler totalement ou partiellement l'arrêt rendu et statuer à nouveau au fond (cf. BOVAY, Procédure administrative, éd. Staempfli, p. 441). La notion de faits ou moyens de preuve nouveaux s'apprécie de la même manière en cas de révision (procédurale) d'une décision administrative (art. 53 al. 1 LPGA), de révision d'un jugement cantonal (art. 61 let. i LPGA) ou de révision d'un arrêt fondée sur l'art. 123 al. 2 let. a LTF. Que sont "nouveaux" au sens de ces dispositions, les faits qui se sont produits jusqu'au moment où, dans la procédure principale, des allégations de faits étaient encore recevables, mais qui n'étaient pas connus du requérant malgré toute sa diligence. Qu'en outre, les faits nouveaux doivent être importants, c'est-à-dire qu'ils doivent être de nature à modifier l'état de fait qui est à la base de l'arrêt entrepris et à conduire à un jugement différent en fonction d'une appréciation juridique correcte. Que les preuves, quant à elles, doivent servir à prouver soit les faits nouveaux importants qui motivent la révision, soit des faits qui étaient certes connus lors de la procédure précédente, mais qui n'avaient pas pu être prouvés, au détriment du requérant. Que dans ce contexte, le moyen de preuve ne doit pas servir à l'appréciation des faits seulement, mais à l'établissement de ces derniers (ATF 127 V 358; ATF du 24 février 2010 8C 934/2009).</w:t>
      </w:r>
    </w:p>
    <w:p>
      <w:r>
        <w:rPr>
          <w:b/>
        </w:rPr>
        <w:t>E. 5</w:t>
      </w:r>
    </w:p>
    <w:p>
      <w:r>
        <w:t>En l'espèce, en tant que la demande de révision du 9 février 2012 était dirigée contre un arrêt du Tribunal, le SPC aurait dû le transmettre d'office à la juridiction compétente. Force est cependant de constater que la demanderesse n'allègue aucun fait ou moyen de preuve nouveau qu'elle ne pouvait invoquer devant le Tribunal en 2007 concernant la décision de restitution. L'acte déposé le 15 mars 2012 fait valoir exactement le même grief que lors de la procédure ayant donné lieu à l'arrêt du 19 novembre 2007, à savoir que le bien immobilier sis en France appartiendrait au frère de l'assurée, critiquant l'appréciation faite par le Tribunal dans l'arrêt précité. Or, c'est par la voie d'un recours au Tribunal Fédéral que l'assurée aurait dû agir en 2007, si elle entendait faire valoir que le Tribunal avait retenu à tort qu'elle était</w:t>
      </w:r>
    </w:p>
    <w:p>
      <w:r>
        <w:t>A/866/2007 - 7/8 - propriétaire du bien immobilier. Les attestations de son frère et de son mari ne sont pas des moyens de preuve nouveaux au sens de la loi. En l'absence de faits nouveaux ou de nouveaux moyens de preuve, la Cour de céans ne saurait réviser son jugement et la demande de révision est irrecevable, en tant qu'elle concerne la décision de restitution. De même, cette décision ayant été confirmée par un jugement, le SPC n'a plus le loisir de la reconsidérer, en eût-il l'intention. A teneur de la loi, la Cour ne peut pas, quant à elle, reconsidérer un arrêt. Par contre, l'assurée n'a pas recouru contre la décision sur opposition du SPC refusant de lui accorder la remise, de sorte que cette question n'a pas été tranchée par une juridiction. Or, si l'assurée s'est adressée au SPC le 9 février 2012 pour demander la révision de la décision de restitution du 28 janvier 2004, elle a aussi fait valoir que ce service avait finalement admis qu'elle n'était pas réellement propriétaire du bien immobilier, comme cela ressort de l'avis de situation établi dans le cadre du recouvrement de la créance, suite à la poursuite intentée. En ce sens, elle demandait au SPC de renoncer à recouvrer la somme due, soit lui accorder une remise. Or, le document du 11 novembre 2011 est un élément de preuve nouveau que l'assurée ne pouvait pas invoquer auparavant et sa demande est formée dans le délai de 3 mois suite à sa découverte. Ainsi, il appartenait au SPC de statuer sur la demande de révision formée par l'assurée le 9 février 2012 en tant qu'elle est dirigée contre le refus de remise. Le cas échéant, le SPC peut également entrer en matière sur la demande du 9 février 2012, au titre de la reconsidération du refus de remise, à défaut de jugement à ce propos.</w:t>
      </w:r>
    </w:p>
    <w:p>
      <w:r>
        <w:rPr>
          <w:b/>
        </w:rPr>
        <w:t>E. 6</w:t>
      </w:r>
    </w:p>
    <w:p>
      <w:r>
        <w:t>Cela étant, l'assurée n'allègue pas qu'elle aurait tenté de discuter avec le SPC des éventuelles conséquences d'un transfert du bien immobilier à son légitime propriétaire, son frère, afin de remettre sa situation financière en conformité avec la réalité alléguée. Le SPC serait éventuellement disposé à ne pas tenir compte d'un dessaisissement, en examinant par exemple les preuves de la provenance des investissements initialement consentis ou en retenant que la vente aurait pu intervenir en 2007 déjà et que le dessaisissement serait amorti à raison de 10'000 fr./an depuis lors. A noter que les éventuelles difficultés politiques dudit frère en Iran n'ont pas à être supportées par la collectivité genevoise, que ses explications concernant une hypothèque de 200'000 € couvrant ses investissements dans l'immeuble et les prêts consentis à sa sœur sont contradictoires avec la valeur réactualisée du bien à 80'000 € et n'ont jamais été documentés, sans quoi la valeur du bien serait quasiment nulle et que rien ne permet de retenir que s'il est en mesure de soutenir financièrement sa sœur et "d'investir 200'000 €" il ne peut pas faire face aux frais de transfert dudit bien. Surtout, le frère de l'assurée envisage la vente de ce bien et propose de désintéresser le SPC à concurrence d'un montant à discuter, ce qui pourrait également être sérieusement discuté.</w:t>
      </w:r>
    </w:p>
    <w:p>
      <w:r>
        <w:t>A/866/2007 - 8/8 -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