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ATAS/855/2009 vom 30. Juni 2009</w:t>
      </w:r>
    </w:p>
    <w:p>
      <w:r>
        <w:t>GE Cour de justice, 2009-06-30, FR</w:t>
      </w:r>
    </w:p>
    <w:p>
      <w:r>
        <w:rPr>
          <w:b/>
        </w:rPr>
        <w:t xml:space="preserve">Quelle: </w:t>
      </w:r>
      <w:r>
        <w:t>https://mcp.opencaselaw.ch/entscheid/ge_gerichte_ATAS_855_2009</w:t>
      </w:r>
    </w:p>
    <w:p>
      <w:r>
        <w:t>FR: GE_GERICHTE ATAS/855/2009 du 30 juin 2009</w:t>
      </w:r>
    </w:p>
    <w:p>
      <w:r>
        <w:t>IT: GE_GERICHTE ATAS/855/2009 del 30 giugno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Selon le principe de libre appréciation des preuves, pleinement valable en procé- 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 leur probante d’un rapport médical n’est ni son origine, ni sa désignation, mais son contenu (ATF 125 V 351). Cela étant, en ce qui concerne les rapports établis par les médecins traitants, le juge peut et doit tenir compte du fait que, selon l’expérience, le médecin traitant est gé- néralement enclin, en cas de doute, à prendre parti pour son patient en raison de la relation de confiance qui l’unit à ce dernier (ATF précité, consid. 3b/bb et cc). En l’espèce, le docteur Q__________ a établi son rapport du 25 juillet 2006 en se basant base tant sur l’examen clinique et les plaintes du recourant que sur l’étude du dossier assécurologique et radiologique, et en pleine connaissance de l’anamnèse. La description et l’appréciation de la situation médicale sont claires. L’expert s’est exprimé sur l’évolution de l’état de santé, sur la capacité de travail et sur les limita- tions fonctionnelles, et il a dûment expliqué et motivé son point de vue. En consé- quence, ainsi qu’il a été établi par ailleurs, le reproche de prévention élevé à l’encontre du docteur Q__________ était infondé dans la mesure où il ne reposait sur aucun élément objectif. À cet égard, l’opinion divergente du docteur O__________, qui porte moins sur les constatations recueillies que sur l’appréciation juridique de leurs conséquences, n’est pas de nature à mettre en cause les conclusions relatives à la capacité rési-</w:t>
      </w:r>
    </w:p>
    <w:p>
      <w:r>
        <w:t>A/88/2007 - 13/16 - duelle de travail du recourant, laquelle avait d’ailleurs été notamment confirmée par le docteur P__________. Pour le surplus, la valeur probante des avis médicaux exprimés dans le cadre du complément d’instruction requis par le TF n’est pas contestée.</w:t>
      </w:r>
    </w:p>
    <w:p>
      <w:r>
        <w:rPr>
          <w:b/>
        </w:rPr>
        <w:t>E. 7</w:t>
      </w:r>
    </w:p>
    <w:p>
      <w:r>
        <w:t>S’agissant en effet du status cardiaque et angéiologique de recourant, sur lequel devait porter l’instruction complémentaire, force est de constater que, selon les avis concordants du docteur S__________ et du SMR, une activité professionnelle qui tînt compte des limitations fonctionnelles du recourant, c’est-à-dire une activité sé- dentaire ne sollicitant que l’usage de ses membres supérieurs, était, en théorie, par- faitement exigible de lui dès le mois de mai 2005. La réserve, décisive pour le docteur S__________, consiste en l’extrême fragilité de l’état de santé de son patient, que l’exercice effectif d’une activité profession- nelle, d’ailleurs probablement impossible à trouver, pouvait mettre radicalement en péril. Mais, comme il a été dit dans l’arrêt rendu précédemment par le Tribunal de céans, l’aggravation de la maladie vasculaire ou le risque d’un événement aigu constituaient des faits hypothétiques qui ne pouvaient alors être pris en considéra- tion comme tels, sinon peut-être, comme l’a rappelé notre Haute Cour, pour évaluer l’opportunité de mesures de réadaptation. Même rétrospectivement, force est ce- pendant de constater qu’au vu des résultats de l’instruction complémentaire, les troubles cardiaques diagnostiqués en janvier 2007 n’ont pas eu de conséquences dommageables mesurables sur la capacité de gain du recourant. Car, s’il est désormais établi que les craintes du docteur S__________ se sont en parties réalisées, en ce sens que la maladie vasculaire a, dès le 12 août 2008, entraî- né des conséquences dommageables concrètes puisqu’une revascularisation des membres inférieurs du recourant a dû être réalisée une nouvelle fois en urgence, il n’apparaît pas que des complications aient été à déplorer avant ou depuis le traite- ment, en mars 2007, des troubles cardiaques et de la maladie coronarienne diagnos- tiqués deux mois plus tôt. Force est donc de constater que le recourant était apte à exercer une activité adaptée aux limitations fonctionnelles telles qu’évaluées successivement par les docteurs L__________, M__________, O__________, P__________, Q__________ et T__________. Dès lors que le diagnostic supplémentaire n’a pas eu d’incidence, autre que le traitement prodigué en mars 2007, sur la capacité de travail du recou- rant, il y a lieu de confirmer que cette capacité de travail était entière dans une acti- vité adaptée aux dites limitations à compter du mois de mai 2005 et que des mesu- res de réadaptation d’ordre professionnel particulières ne se justifiaient pas. Pour le surplus, l’examen de la question de savoir si de telles mesures, compatibles avec l’état de santé réévalué du recourant, pourraient être prises pour l’avenir est</w:t>
      </w:r>
    </w:p>
    <w:p>
      <w:r>
        <w:t>A/88/2007 - 14/16 - devenue sans objet puisque sa capacité de gain est désormais unanimement consi- dérée comme nulle par les médecins et ce, pour une durée indéterminée.</w:t>
      </w:r>
    </w:p>
    <w:p>
      <w:r>
        <w:rPr>
          <w:b/>
        </w:rPr>
        <w:t>E. 8</w:t>
      </w:r>
    </w:p>
    <w:p>
      <w:r>
        <w:t>Dans la procédure juridictionnelle administrative, ne peuvent être examinés et ju- gés, en principe, que les rapports juridiques à propos desquels l’autorité administra- tive compétente s’est prononcée préalablement d’une manière qui la lie, sous la forme d’une décision. Dans cette mesure, la décision détermine l’objet de la contes- tation qui peut être déféré en justice par voie de recours (ATF 131 V 164 con- sid. 2.1, 125 V 414 consid. 1a, 119 Ib 36 consid. 1b et les références citées). Selon une jurisprudence constante, le juge des assurances sociales apprécie donc la légali- té des décisions attaquées, en règle générale, d’après l’état de fait existant au mo- ment où la décision litigieuse a été rendue. Les faits survenus postérieurement, et qui ont modifié cette situation, doivent normalement faire l’objet d’une nouvelle décision administrative (ATF 121 V 366 consid. 1b et les références). En cas d’allocation d’une rente dégressive ou temporaire, la date de la modification du droit (diminution ou suppression de la rente) doit être fixée conformément à l’art. 88a du règlement fédéral du 17 janvier 1961 sur l’assurance-invalidité (RAI). Selon cette disposition, si la capacité de gain d’un assuré ou sa capacité d’accomplir ses travaux habituels s’améliore, il y a lieu de considérer que ce changement sup- prime, le cas échéant, tout ou partie de son droit aux prestations dès qu’on peut s’attendre à ce que l’amélioration constatée se maintienne durant une assez longue période ;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 tations dès qu’il a duré trois mois sans interruption notable. L’art. 29bis est toutefois applicable par analogie (al. 2). Cette dernière disposition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1er LAI, celle qui a précédé le premier octroi. En l’espèce, il a été établi que la capacité de travail (et la capacité de gain) du re- courant était, dès le mois de mai 2005, totale dans une activité adaptée. C’est donc à bon droit que l’OCAI a supprimé le versement de la rente d’invalidité à partir du 1er septembre 2005. Cela étant, l’OCAI a constaté une aggravation de l’état de santé du recourant et une nouvelle incapacité totale de travail à compter du mois d’août 2008, pour une durée indéterminée.</w:t>
      </w:r>
    </w:p>
    <w:p>
      <w:r>
        <w:t>A/88/2007 - 15/16 - Il conviendra par conséquent que l’intimé se prononce formellement sur les consé- quences de l’aggravation constatée, de sorte qu’il y a lieu de lui renvoyer la cause pour nouvelle décision au sens des considérations qui précèdent.</w:t>
      </w:r>
    </w:p>
    <w:p>
      <w:r>
        <w:rPr>
          <w:b/>
        </w:rPr>
        <w:t>E. 9</w:t>
      </w:r>
    </w:p>
    <w:p>
      <w:r>
        <w:t>Pour le surplus, il sera renoncé à la perception, à la charge du recourant, de l’émolument prévu par l’art. 69 al. 1bis LAI en considération du fait qu’il a été mis au bénéfice de l’assistance judiciaire.</w:t>
      </w:r>
    </w:p>
    <w:p>
      <w:r>
        <w:t>A/88/2007 - 16/16 -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