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ATAS/854/2022 vom 28. September 2022</w:t>
      </w:r>
    </w:p>
    <w:p>
      <w:r>
        <w:t>GE Cour de justice, 2022-09-28, FR</w:t>
      </w:r>
    </w:p>
    <w:p>
      <w:r>
        <w:rPr>
          <w:b/>
        </w:rPr>
        <w:t xml:space="preserve">Quelle: </w:t>
      </w:r>
      <w:r>
        <w:t>https://mcp.opencaselaw.ch/entscheid/ge_gerichte_ATAS_854_2022</w:t>
      </w:r>
    </w:p>
    <w:p>
      <w:r>
        <w:t>FR: GE_GERICHTE ATAS/854/2022 du 28 septembre 2022</w:t>
      </w:r>
    </w:p>
    <w:p>
      <w:r>
        <w:t>IT: GE_GERICHTE ATAS/854/2022 del 28 settembre 2022</w:t>
      </w:r>
    </w:p>
    <w:p>
      <w:pPr>
        <w:pStyle w:val="Heading2"/>
      </w:pPr>
      <w:r>
        <w:t>Erwägungen</w:t>
      </w:r>
    </w:p>
    <w:p>
      <w:r>
        <w:rPr>
          <w:b/>
        </w:rPr>
        <w:t>E. 10</w:t>
      </w:r>
    </w:p>
    <w:p>
      <w:r>
        <w:t>mois. Pour l'instant, son opération n'était pas encore fixée, mais elle devrait avoir lieu dans 4 ou 5 mois.</w:t>
      </w:r>
    </w:p>
    <w:p>
      <w:r>
        <w:t>A/548/2022 - 11/20 - - La représentante de l’intimé a indiqué que l'aggravation était postérieure à la décision et que la situation n’était pas stabilisée sur le plan médical et qu’il n’était pas adéquat de procéder maintenant à une réadaptation. Il faudrait voir la situation après l'opération. L’intimé n'instruisait pas une nouvelle demande pendant une procédure de recours.</w:t>
      </w:r>
    </w:p>
    <w:p>
      <w:r>
        <w:t>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trente jours (art. 56 LPGA; art. 62 al. 1 de la de loi sur la procédure administrative du 12 septembre 1985 [LPA - E 5 10]). Le recours adressé le 16 février 2022 par l’assuré à la chambre de céans a été interjeté dans le délai de 30 jours dès la nouvelle notification, le 11 février 2022, de la décision du 22 octobre 2021, de sorte qu’il est recevable. 3. 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 4.</w:t>
      </w:r>
    </w:p>
    <w:p>
      <w:r>
        <w:t>4.1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w:t>
      </w:r>
    </w:p>
    <w:p>
      <w:r>
        <w:t>A/548/2022 - 12/20 - 4.2 En l’espèce, les conclusions du recourant, qui a agi en personne, ne sont pas très claires. Il convient de les interpréter et d’examiner son droit à une rente d’invalidité dès septembre 2020, puisqu’il s’estime totalement incapable de travailler depuis lors, étant relevé que des indemnités journalières n’entrent pas en ligne de compte si l’assuré se trouvait comme il le prétend incapable de travailler (art. 22 LAI). 5.</w:t>
      </w:r>
    </w:p>
    <w:p>
      <w:r>
        <w:t>5.1 Aux termes de l’art. 8 al. 1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5.2 5.2.1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5.2.2 En 2017,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w:t>
      </w:r>
    </w:p>
    <w:p>
      <w:r>
        <w:t>A/548/2022 - 13/20 - les domaines de la vie. Si ce n'est pas le cas, la preuve d'une limitation de la capacité de travail invalidante n'est pas rapportée et l'absence de preuve doit être supportée par la personne concernée (ATF 143 V 409 consid. 4.5 et ATF 143 V 418 consid. 6 et 7).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Il convient dorénavant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à l’aide des indicateurs suivants : Le point de départ est le degré de gravité minimal inhérent au diagnostic. Il doit être rendu vraisemblable compte tenu de l’étiologie et de la pathogenèse de la pathologie déterminante pour le diagnostic. Les constatations relatives aux manifestations concrètes de l’atteinte à la santé diagnostiquée permettent de distinguer les limitations fonctionnelles causées par cette atteinte de celles dues à des facteurs non assurés.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w:t>
      </w:r>
    </w:p>
    <w:p>
      <w:r>
        <w:t>A/548/2022 - 14/20 - n’est pas une comorbidité, mais doit à la rigueur être pris en considération dans le cadre du diagnostic de la personnalité.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Si des difficultés sociales ont directement des conséquences fonctionnelles négatives, elles ne doivent pas être prises en considération. En revanche, le contexte de vie de l’assuré peut lui procurer des ressources mobilisables, par exemple par le biais de son réseau social. Il faut s’assurer qu’une incapacité de travail pour des raisons de santé ne se confond pas avec le chômage non assuré ou avec d’autres difficultés de vie.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 Il faut examiner ensuite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Le juge vérifie librement si l’expert médical a exclusivement tenu compte des déficits fonctionnels résultant de l’atteinte à la santé et si son évaluation de l’exigibilité repose sur une base objective.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chargées d’appliquer le droit puissent vérifier que les critères de classification ont été effectivement respectés. Il suppose l’existence de limitations fonctionnelles</w:t>
      </w:r>
    </w:p>
    <w:p>
      <w:r>
        <w:t>A/548/2022 - 15/20 -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difficultés décrites et le comportement observé, l'allégation d'intenses difficultés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ATF 131 V 49 consid. 1.2). 5.3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w:t>
      </w:r>
    </w:p>
    <w:p>
      <w:r>
        <w:t>A/548/2022 - 16/20 -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 5.4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5.5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w:t>
      </w:r>
    </w:p>
    <w:p>
      <w:r>
        <w:t>A/548/2022 - 17/20 -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5.6 De jurisprudence constante, le juge apprécie en règle générale la légalité des décisions entreprises d'après l'état de fait existant au moment où la décision litigieuse a été rendue (ATF 144 V 210 consid. 4.3.1; ATF 132 V 215 consid. 3.1.1). Les faits survenus postérieurement, et qui ont modifié cette situation, doivent en principe faire l'objet d'une nouvelle décision administrative (ATF 144 V 210 consid. 4.3.1; ATF 130 V 130 consid. 2.1). Même s'il a été rendu postérieurement à la date déterminante, un rapport médical doit cependant être pris en considération, dans la mesure où il a trait à la situation antérieure à cette date (cf. ATF 99 V 98 consid. 4 et les arrêts cités; arrêt du Tribunal fédéral 9C_259/2018 du 25 juillet 2018 consid. 4.2). 6.</w:t>
      </w:r>
    </w:p>
    <w:p>
      <w:r>
        <w:t>6.1 En l’espèce, l’intimé a retenu que le recourant était totalement capable de travailler dans une activité adaptée dès le 28 août 2017, sur la base d’un avis de la Dresse H______, médecin SMR, du 16 décembre 2020, qui concluait, au vu du dossier, que les atteintes principales étaient un trouble de la personnalité sans précision, actuellement non décompensé, et un TDAH. Comme atteintes qui n’étaient pas du ressort de l’assurance-invalidité, elle retenait un syndrome somatoforme douloureux persistant, sans indices de gravité jurisprudentiels, un syndrome de dépendance au cannabis, actuellement abstinent, des omalgies droites sur tendinopathie du sus-épineux, une lésion musculaire du plancher pelvien au détriment du muscle obturateur interne gauche, une hémochromatose et des antécédents d’obésité. L’incapacité de travail à 100% avait débuté dès février 2014. La capacité de travail était de 0% dans les activités habituelles de vendeur, serveur, coiffeur. La Dresse H______ a retenu une capacité de travail de 60% dès le 22 novembre 2016, sur la base du rapport médical de la Dresse C______ du 26 novembre 2016. Elle a retenu une capacité de travail de 100% dans une activité adaptée dès le 28 août 2017, en tenant compte du fait qu’à cette date, l’assuré avait commencé une formation professionnelle à 100% dans le domaine de la coiffure et en retenant que l’activité devait être effectuée dans un milieu peu stressant,</w:t>
      </w:r>
    </w:p>
    <w:p>
      <w:r>
        <w:t>A/548/2022 - 18/20 - impliquant peu d’échanges avec autrui, sans ports de charges répétés de plus 5 kg, sans station statique prolongée debout ou assise, sans porte-à-faux du rachis, sans travail des bras au-dessus de l’horizontale. Dans son avis du 1er juin 2021, la Dresse H______ a retenu, comme nouveaux diagnostics incapacitants, des troubles dégénératifs de la cheville gauche, sur la base d’un rapport établi le 19 février 2021 par le Dr G______, et un conflit fémoro-acétabulaire gauche, sur la base d’une coxométrie par CT de la hanche du 27 avril 2021, réalisée à la demande du Dr L______. Elle a estimé que les limitations dues à l’atteinte à la hanche étaient déjà incluses dans ses précédentes conclusions et qu’il fallait ajouter comme limitations, la position assise et la marche en terrain irrégulier pour l’atteinte à la cheville. Elle concluait que l’exigibilité restait entière dans une activité adaptée aux limitations fonctionnelles. Les avis du SMR ne répondent pas aux critères d’une expertise, de sorte qu’une instruction complémentaire doit être ordonnée si leurs conclusions sont remises en doute, même légèrement. Or tel est le cas en l’occurrence. En effet, dans son avis du 1er juin 2021, la Dresse H______ n’a pas suffisamment tenu compte des constats faits par les ÉPI, tels qu’ils ressortent du rapport du service de réadaptation du 16 avril 2021. Son avis du 1er juin 2021 n’est en effet pas motivé sur ce point et il ne semble pas que la Dresse H______ ait eu connaissance du rapport établi le 1er juin 2021 par les ÉPI. Ce rapport mettait en évidence chez l’assuré une faible résistance/endurance, une difficulté à tenir les positions, de nombreux départs anticipés à cause des douleurs qu’il disait ressentir, des difficultés d’attention et de concentration sur la durée, une instabilité émotionnelle alimentée par une anxiété et une mauvaise gestion du stress. Ce rapport suscite de sérieux doutes quant à la capacité de travail du recourant tant sur le plan physique que psychique, lesquels justifiaient une instruction complémentaire. Les rapports du Dr G______ ne sont pas suffisamment détaillés pour établir clairement l’état de santé et la capacité de travail du recourant, ce d’autant plus que ce médecin ne prenait pas en compte la problématique de la hanche. L’intimé aurait également dû attendre avant de confirmer son projet de décision le rapport complémentaire demandé par le Dr J______ au Dr K______, après avoir constaté qu’une coxométrie mettait en évidence un manque d’antéversion avec une rétroversion légère de la cotyle, ce qui constituait un fait nouveau. Sur le plan orthopédique, il est donc nécessaire de compléter l’instruction, en commençant par une demande de rapports complémentaires auprès de médecins ayant examiné le recourant pour ses problèmes de hanche (soit le Dr K______ et le Prof. M______). Même si ces médecins sont intervenus auprès de l’assuré après la décision querellée, leur appréciation a un intérêt, car il est vraisemblable que</w:t>
      </w:r>
    </w:p>
    <w:p>
      <w:r>
        <w:t>A/548/2022 - 19/20 - l’atteinte aux hanches du recourant était déjà présente avant cette décision. Sur la base de ces rapports, l’intimé devra décider si une expertise est nécessaire. 6.2 Au vu des rapports des ÉPI, il semble que la Dresse C______ a pu minimiser l’atteinte psychique du recourant en retenant le 17 février 2021 qu’il présentait alors une stabilité psychique émotionnelle lui permettant d’avoir des relations sociales de bonne qualité et que ses troubles du comportement dus à l’anxiété avaient disparu, ce qui améliorait son aisance sociale au sein d’un groupe. En effet, cela paraît peu compatible avec le fait que les ÉPI avaient constaté une instabilité émotionnelle de l’assuré, alimentée par une anxiété et une mauvaise gestion du stress (rapport du 1er juin 2021) ainsi qu’une faible résistance et endurance, une concentration aléatoire et difficile sur la durée, une fragilité psychologique et un manque de maturité (rapport du le 6 avril 2021). Une instruction complémentaire par le biais d’une expertise par un psychiatre ayant une bonne connaissance du TDAH apparaît dès lors nécessaire. 7. Au vu des considérations qui précèdent, le recours sera partiellement admis, la décision querellée annulée et la cause renvoyée à l’intimé pour complément d’instruction, au sens des considérants. Il ne sera pas alloué d’indemnité de procédure au recourant, qui n'est pas assisté d'un conseil et qui n’a pas fait valoir de frais engendrés par la procédure (art. 61 let. g LPGA). Un émolument de CHF 200.- sera mis à la charge de l'intimé (art. 69 al. 1bis LAI).</w:t>
      </w:r>
    </w:p>
    <w:p>
      <w:r>
        <w:t>A/548/2022 - 20/20 -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