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ATAS/854/2016 vom 24. Oktober 2016</w:t>
      </w:r>
    </w:p>
    <w:p>
      <w:r>
        <w:t>GE Cour de justice, 2016-10-24, FR</w:t>
      </w:r>
    </w:p>
    <w:p>
      <w:r>
        <w:rPr>
          <w:b/>
        </w:rPr>
        <w:t xml:space="preserve">Quelle: </w:t>
      </w:r>
      <w:r>
        <w:t>https://mcp.opencaselaw.ch/entscheid/ge_gerichte_ATAS_854_2016</w:t>
      </w:r>
    </w:p>
    <w:p>
      <w:r>
        <w:t>FR: GE_GERICHTE ATAS/854/2016 du 24 octobre 2016</w:t>
      </w:r>
    </w:p>
    <w:p>
      <w:r>
        <w:t>IT: GE_GERICHTE ATAS/854/2016 del 24 ottobre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de la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56ss LPGA).</w:t>
      </w:r>
    </w:p>
    <w:p>
      <w:r>
        <w:rPr>
          <w:b/>
        </w:rPr>
        <w:t>E. 4</w:t>
      </w:r>
    </w:p>
    <w:p>
      <w:r>
        <w:t>Le litige porte sur la question de savoir si l'intimée doit prendre en charge les frais de traitements de l’épaule droite de la recourante au-delà du 6 mars 2014. Il s'agira en particulier de déterminer si les troubles de l'épaule présentés par la recourante</w:t>
      </w:r>
    </w:p>
    <w:p>
      <w:r>
        <w:t>A/4062/2015 - 11/18 - postérieurement au 6 mars 2014 sont en lien de causalité avec l'accident survenu le 29 décembre 2012.</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2ème éd., n. 80 p. 865). d.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w:t>
      </w:r>
    </w:p>
    <w:p>
      <w:r>
        <w:t>A/4062/2015 - 12/18 -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6</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tendons figurent parmi la liste exhaustive des lésions corporelles assimilées à un accident (art. 9 al. 2 let. f OLAA ; ATF 116 V 136 consid. 4a,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 ATF 116 V 145 consid. 6c ; ATF 114 V 301 consid. 3c).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w:t>
      </w:r>
    </w:p>
    <w:p>
      <w:r>
        <w:t>A/4062/2015 - 13/18 -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d. Ces règles sont également applicables lorsqu'une des lésions mentionnées à l'art. 9 al. 2 OLAA est survenue lors d'un événement répondant à la définition de l'accident au sens de l'art. 6 al. 1 LAA (arrêts du Tribunal fédéral 8C_347/2013 du 18 février 2013 consid. 3.2 ; 8C_698/2007 du 27 octobre 2008 consid. 4.2 ; 8C_357/2007 du 31 janvier 2008, consid. 3.2).</w:t>
      </w:r>
    </w:p>
    <w:p>
      <w:r>
        <w:rPr>
          <w:b/>
        </w:rPr>
        <w:t>E. 7</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w:t>
      </w:r>
    </w:p>
    <w:p>
      <w:r>
        <w:t>A/4062/2015 - 14/18 - d.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w:t>
      </w:r>
    </w:p>
    <w:p>
      <w:r>
        <w:rPr>
          <w:b/>
        </w:rPr>
        <w:t>E. 8</w:t>
      </w:r>
    </w:p>
    <w:p>
      <w:r>
        <w:t>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w:t>
      </w:r>
    </w:p>
    <w:p>
      <w:r>
        <w:t>A/4062/2015 - 15/18 -</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dans sa décision litigieuse, l'intimée, en se fondant sur les conclusions du Dr J______, a retenu que les troubles à l'épaule droite de la recourante ne sont plus en lien de causalité avec l'accident survenu le 29 décembre 2012 à compter du 6 mars 2014. A la lecture des rapports établis par le Dr J______, la chambre de céans est toutefois d'avis que l'appréciation de cet expert n'emporte pas la conviction, et ce pour les motifs qui suivent. S'agissant de son rapport du 19 mars 2015, force est de constater que le Dr J______ a pris ses conclusions en l'absence de pièces fondamentales, telles que le rapport de l'arthro-IRM du 22 octobre 2014 – que l'intimée avait pourtant en sa possession depuis le 20 novembre 2014 - et le protocole opératoire du 17 décembre 2014. Par ailleurs, alors que l’expert a estimé que la contusion de l'épaule droite avec tendinopathie du sus-épineux et probable désinsertion de quelques fibres sont en</w:t>
      </w:r>
    </w:p>
    <w:p>
      <w:r>
        <w:t>A/4062/2015 - 16/18 - lien de causalité avec l'accident et qu’une rechute a eu lieu à compter de juin 2014, il a néanmoins fixé le statu quo sine au 6 mars 2014 sans apporter aucune explication sur les raisons pour lesquelles cette rechute ne serait pas en lien de causalité naturelle avec l'atteinte à la santé causée par l'accident. Son rapport complémentaire du 8 octobre 2015 n'est pas plus convaincant. En effet, alors que le Dr J______ a été appelé à se déterminer sur les lésions révélées par l'arthro-IRM du 22 octobre 2014 et l’arthroscopie du 16 décembre 2014, son rapport complémentaire passe toutefois totalement sous silence la large lésion fissuraire de la partie distale et antérieure du tendon supra-épineux et comprenant plus de 50% de l’épaisseur du tendon. Cette omission est d’autant plus surprenante que le Dr J______ avait justement retenu - dans son premier rapport - un lien de causalité entre l'accident et l’atteinte à ce tendon. Qui plus est, l’expert estime dans son rapport complémentaire que l’atteinte dégénérative de la coiffe des rotateurs a progressé, alors que dans son premier rapport, seule l’arthrose acromio-claviculaire est mentionnée en tant qu'état antérieur dégénératif (rapport du 19 mars 2015, page 11, question 5.2). De surcroît, alors que dans son premier rapport l'expert considère que la chute avec le bras en adduction a causé la contusion de l'épaule droite avec tendinopathie du sus-épineux et probable désinsertion de quelques fibres, de manière contradictoire il expose dans son rapport complémentaire que le mécanisme de la chute ne peut pas léser le sus-épineux. Pour l'ensemble de ces motifs, la chambre de céans ne saurait admettre, sur la base des rapports du Dr J______, que la causalité naturelle entre les troubles à l'épaule droite de la recourante et l'accident du 29 décembre 2012 a pris fin le 6 mars 2014. Par ailleurs, on ne saurait non plus statuer sur le présent litige en se fondant uniquement sur les appréciations succinctes et peu motivées du Dr F______, chirurgien traitant, lequel retient un lien de causalité naturelle postérieurement au 6 mars 2014. Qui plus est, dans la mesure où une probable désinsertion de quelques fibres du tendon supra-épineux et une large lésion fissuraire de la partie distale et antérieure de ce tendon ont notamment été constatées (arthro-IRM des 28 mars 2013 et 22 octobre 2014), se pose la question de savoir si ces atteintes correspondent à des lésions corporelles assimilées à un accident au sens de l'art. 9 al. 2 OLAA, auquel cas il y aurait lieu d’appliquer les principes propres auxdites lésions pour admettre le lien de causalité naturelle et pour fixer le statu quo sine/ante. Or, les rapports versés à la procédure ne permettent pas non plus de répondre à cette question. Compte tenu de l'ensemble de ces motifs, force est de constater que la chambre de céans ne dispose pas des éléments médicaux nécessaires et probants pour statuer sur la question litigieuse du droit de la recourante à la prise en charge des frais de traitements de son épaule droite postérieurement au 6 mars 2014. Il convient dès lors de renvoyer la cause à l'intimée afin qu'elle ordonne un complément d'instruction sous la forme d'une expertise médicale indépendante, au sens de</w:t>
      </w:r>
    </w:p>
    <w:p>
      <w:r>
        <w:t>A/4062/2015 - 17/18 - l'art. 44 LPGA, auprès d'un spécialiste en chirurgie orthopédique, puis rende une nouvelle décision. Un renvoi est d'autant plus justifié que l'expertise mise en œuvre par l'intimée n'a pas porté sur l'existence éventuelle de lésions assimilées.</w:t>
      </w:r>
    </w:p>
    <w:p>
      <w:r>
        <w:rPr>
          <w:b/>
        </w:rPr>
        <w:t>E. 12</w:t>
      </w:r>
    </w:p>
    <w:p>
      <w:r>
        <w:t>Le recours sera donc admis partiellement et la décision du 28 octobre 2015 sera annulée. La cause sera renvoyée à l'intimée pour instruction complémentaire et nouvelle décision.</w:t>
      </w:r>
    </w:p>
    <w:p>
      <w:r>
        <w:rPr>
          <w:b/>
        </w:rPr>
        <w:t>E. 13</w:t>
      </w:r>
    </w:p>
    <w:p>
      <w:r>
        <w:t>La recourante, représentée par un conseil et obtenant gain de cause, une indemnité de CHF 2'000.-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w:t>
      </w:r>
    </w:p>
    <w:p>
      <w:r>
        <w:rPr>
          <w:b/>
        </w:rPr>
        <w:t>E. 14</w:t>
      </w:r>
    </w:p>
    <w:p>
      <w:r>
        <w:t>Pour le surplus, la procédure est gratuite (art. 61 let. a LPGA).</w:t>
      </w:r>
    </w:p>
    <w:p>
      <w:r>
        <w:t>A/4062/2015 - 18/18 -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