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ATAS/854/2012 vom 25. Juni 2012</w:t>
      </w:r>
    </w:p>
    <w:p>
      <w:r>
        <w:t>GE Cour de justice, 2012-06-25, FR</w:t>
      </w:r>
    </w:p>
    <w:p>
      <w:r>
        <w:rPr>
          <w:b/>
        </w:rPr>
        <w:t xml:space="preserve">Quelle: </w:t>
      </w:r>
      <w:r>
        <w:t>https://mcp.opencaselaw.ch/entscheid/ge_gerichte_ATAS_854_2012</w:t>
      </w:r>
    </w:p>
    <w:p>
      <w:r>
        <w:t>FR: GE_GERICHTE ATAS/854/2012 du 25 juin 2012</w:t>
      </w:r>
    </w:p>
    <w:p>
      <w:r>
        <w:t>IT: GE_GERICHTE ATAS/854/2012 del 25 giugno 2012</w:t>
      </w:r>
    </w:p>
    <w:p>
      <w:pPr>
        <w:pStyle w:val="Heading2"/>
      </w:pPr>
      <w:r>
        <w:t>Erwägungen</w:t>
      </w:r>
    </w:p>
    <w:p>
      <w:r>
        <w:rPr>
          <w:b/>
        </w:rPr>
        <w:t>E. 1</w:t>
      </w:r>
    </w:p>
    <w:p>
      <w:r>
        <w:t>Conformément à l'art. 134 al. 1 let. a ch. 3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Cour est donc compétente pour juger du cas d’espèce. Formé dans la forme et le délai prescrits, le recours est recevable (art. 60 et 61 let. b LPGA).</w:t>
      </w:r>
    </w:p>
    <w:p>
      <w:r>
        <w:rPr>
          <w:b/>
        </w:rPr>
        <w:t>E. 2</w:t>
      </w:r>
    </w:p>
    <w:p>
      <w:r>
        <w:t>Il convient, en premier lieu, d'examiner la violation alléguée du droit d'être entendu, le recourant soutenant que la décision du 19 juillet 2011 n'était pas motivée. a. La jurisprudence déduit du droit d'être entendu l'obligation pour l'autorité de motiver sa décision, afin que son destinataire puisse la comprendre et l'attaquer utilement s'il y a lieu. Il suffit que l'autorité mentionne, au moins brièvement, les motifs qui l'ont guidée et sur lesquels elle a fondé sa décision, de manière à ce que l'intéressé puisse se rendre compte de la portée de celle-ci et l'attaquer en connaissance de cause (ATF 134 I 83 consid. 4.1; 133 III 439 consid. 3.3). b. En l'espèce, la décision du 19 juillet 2011 s'inscrit dans le cadre d'une procédure de révision périodique, dûment annoncée à l'administré. Elle expose en détail les chiffres retenus, soit le forfait de base, le loyer, les charges locatives, les cotisations sociales à charge du recourant ainsi que la rente, qui constitue sa seule source de revenu. Le solde résultant du déficit du budget admis constitue le montant des prestations de l'intimé. Le calcul est présenté de manière structuré et lisible. Un récapitulatif permet de comprendre la différence entre les prestations versées et celles qui auraient dû être versées. La décision contient ainsi tous les éléments permettant de comprendre son fondement. Elle répond donc aux réquisits du droit d'être entendu.</w:t>
      </w:r>
    </w:p>
    <w:p>
      <w:r>
        <w:t>A/598/2012 - 4/6 - Certes, il n'est pas aisé pour un non-initié d'apprécier le bien-fondé d'une telle décision. En revanche, elle ne peut être taxée d'incompréhensible ou de non motivée, comme cela vient d'être exposé. Le Conseil du recourant en a d'ailleurs parfaitement saisi la motivation puisqu'elle a reproché à l'intimé de ne pas avoir tenu compte, dans ses décisions antérieures, de la modification de la charge locative du recourant, pourtant communiquée en 2004. Le grief n'est donc pas fondé.</w:t>
      </w:r>
    </w:p>
    <w:p>
      <w:r>
        <w:rPr>
          <w:b/>
        </w:rPr>
        <w:t>E. 3</w:t>
      </w:r>
    </w:p>
    <w:p>
      <w:r>
        <w:t>Sur le fond, la question litigieuse consiste à savoir si l'intimé est fondé à réclamer la restitution des prestations indument touchées par le recourant entre 2006 et 2011. a. Aux termes de l'art. 25 al. 1er, 1ère phrase, LPGA, les prestations indûment touchées doivent être restituées. Le droit cantonal reprend la teneur de l'art. 25 LPGA (art. 24 LPCC et 14 à 16 du règlement d’application de la loi sur les prestations cantonales complémentaires à l’assurance vieillesse et survivants et à l’assurance invalidité du 25 juin 1999). Par conséquent, les conditions et principes dégagés de l'application de l'art. 25 LPGA sont applicables à la restitution des prestations complémentaires cantonales. L'art. 25 LPGA implique que soient réunies les conditions d'une reconsidération (cf. art. 53 al. 2 LPGA) ou d'une révision procédurale (cf. art. 53 al. 1er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 En vertu de l'art. 25 al. 2 LPGA, le droit de demander la restitution s'éteint un an après le moment où l'institution a eu connaissance du fait qui justifie la restitution.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Le délai de péremption absolu de cinq ans commence à courir à la date du versement effectif de la prestation (ATF 112 V 180 consid. 4a; 111 V 14 consid. 3). Selon l’art. 25 al. 2 LPGA, la remise de l'obligation de restituer des prestations indûment touchées ne peut pas être exigée lorsque l’intéressé était de bonne foi et qu’elle le mettrait dans une situation difficile. La remise et son étendue font toutefois l'objet d'une procédure distincte de la restitution et n'intervient que lorsque la décision de restitution est entrée en force (ATF 132 V 42 consid. 1.2; ATF 8C_602/2007 du 13 décembre 2007; cf. art. 4 al. 2 OPGA). b. Dans le domaine des assurances sociales, le juge ne peut pas considérer un fait comme prouvé seulement parce qu'il apparaît comme une hypothèse possible. Le</w:t>
      </w:r>
    </w:p>
    <w:p>
      <w:r>
        <w:t>A/598/2012 - 5/6 -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c. En l'espèce, le recourant ne conteste pas qu'il s'est engagé, lors de la demande de prestations, à signaler sans retard toute modification dans sa situation économique. Il soutient s'être conformé à cette obligation en envoyant le 10 juillet 2004 copie de l'avenant à son contrat de bail. S'il rend ainsi vraisemblable avoir envoyé ce courrier et son annexe, il ne rend pas vraisemblable que ce courrier a été reçu. En effet, ces documents ne se trouvent pas dans le dossier du recourant auprès de l'intimé. La référence, dans le courrier précité, à un appel téléphonique avec ce service ne permet pas d'établir, avec la vraisemblance prépondérante requise, la communication de la baisse de loyer. En effet, le simple fait de se référer à une conversation téléphonique ne permet pas d'en connaître le contenu.</w:t>
      </w:r>
    </w:p>
    <w:p>
      <w:r>
        <w:t>Cela étant, la procédure de restitution n'a pas pour objet de déterminer si l'administré était de bonne foi ou non. Elle tend à rétablir la situation, afin que celle-ci soit conforme au droit. Sous cet angle, la décision de restitution ne souffre d'aucune critique. En particulier, les revenus et charges retenus par l'administration sont conformes aux pièces produites et aux dispositions régissant le droit aux prestations complémentaires cantonales et fédérales. Le recourant ne soutient d'ailleurs pas que les montants retenus seraient inexactes. Par ailleurs, l'intimé a agi dans le délai d'une année après avoir eu connaissance du fait que ses décisions précédentes étaient erronées et a limité ses prétentions en restitution aux cinq dernières années. La décision querellée doit donc être confirmée.</w:t>
      </w:r>
    </w:p>
    <w:p>
      <w:r>
        <w:t>La Cour ne peut pas se prononcer, comme semble le souhaiter le recourant, sur l'existence des conditions de la remise, à savoir si le recourant était de bonne foi et si la restitution le mettrait dans une situation difficile. Ces critères doivent être examinés, le cas échéant, dans un deuxième temps dans le cadre de la procédure de remise, qui pourra être entamée lorsque la décision de restitution sera entrée en force.</w:t>
      </w:r>
    </w:p>
    <w:p>
      <w:r>
        <w:t>En conclusion, le recours est donc rejeté.</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