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ATAS/853/2023 vom 6. November 2023</w:t>
      </w:r>
    </w:p>
    <w:p>
      <w:r>
        <w:t>GE Cour de justice, 2023-11-06, FR</w:t>
      </w:r>
    </w:p>
    <w:p>
      <w:r>
        <w:rPr>
          <w:b/>
        </w:rPr>
        <w:t xml:space="preserve">Quelle: </w:t>
      </w:r>
      <w:r>
        <w:t>https://mcp.opencaselaw.ch/entscheid/ge_gerichte_ATAS_853_2023</w:t>
      </w:r>
    </w:p>
    <w:p>
      <w:r>
        <w:t>FR: GE_GERICHTE ATAS/853/2023 du 6 novembre 2023</w:t>
      </w:r>
    </w:p>
    <w:p>
      <w:r>
        <w:t>IT: GE_GERICHTE ATAS/853/2023 del 6 novembre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porte sur le droit aux prestations pour accident dès le 1er août 2022, en particulier sur le degré d’invalidité du recourant et sur l’indemnité pour atteinte à l'intégrité.</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loi prévoit notamment les prestations suivantes en cas d’accident.</w:t>
      </w:r>
    </w:p>
    <w:p>
      <w:r>
        <w:rPr>
          <w:b/>
        </w:rPr>
        <w:t>E. 5.1</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19 al. 1 LAA, le droit à la rente prend naissance dès qu'il n'y a plus lieu d'attendre de la continuation du traitement médical une sensible amélioration de l'état de l'assuré et que les éventuelles mesures de réadaptation de l'assurance-</w:t>
      </w:r>
    </w:p>
    <w:p>
      <w:r>
        <w:t>A/1462/2023 - 8/18 - 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5.2</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3ème éd. 2016, n.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w:t>
      </w:r>
    </w:p>
    <w:p>
      <w:r>
        <w:t>A/1462/2023 - 9/18 - concours de plusieurs atteintes à l'intégrité physique, mentale ou psychique, dues à un ou plusieurs accidents,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w:t>
      </w:r>
    </w:p>
    <w:p>
      <w:r>
        <w:rPr>
          <w:b/>
        </w:rPr>
        <w:t>E. 6</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w:t>
      </w:r>
    </w:p>
    <w:p>
      <w:r>
        <w:t>A/1462/2023 - 10/18 -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6.2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 ce qui concerne l’indexation des revenus, il y a lieu d'adapter le salaire statistique à l'évolution des salaires nominaux en appliquant soit le chiffre définitif de l'indice suisse des salaires nominaux publié au moment déterminant de la décision litigieuse, soit la plus récente estimation trimestrielle (arrêt du Tribunal fédéral 8C_659/2022 du 2 mai 2023 consid. 7.2).</w:t>
      </w:r>
    </w:p>
    <w:p>
      <w:r>
        <w:rPr>
          <w:b/>
        </w:rPr>
        <w:t>E. 7.1</w:t>
      </w:r>
    </w:p>
    <w:p>
      <w:r>
        <w:t>Le revenu sans invalidité se détermine en établissant au degré de la vraisemblance prépondérante ce que l’intéressé aurait effectivement pu réaliser au</w:t>
      </w:r>
    </w:p>
    <w:p>
      <w:r>
        <w:t>A/1462/2023 - 11/18 -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8C_732/2019 du 19 octobre 2020 consid. 3.2 et les références). Le revenu sans invalidité doit être fixé en référence aux revenus statistiques notamment lorsque l’ancien employeur de l’intéressé a fait faillite (cf. arrêt du Tribunal fédéral 8C_592/2022 du 11 avril 2023 consid. 4.3.2).</w:t>
      </w:r>
    </w:p>
    <w:p>
      <w:r>
        <w:rPr>
          <w:b/>
        </w:rPr>
        <w:t>E. 7.2</w:t>
      </w:r>
    </w:p>
    <w:p>
      <w:r>
        <w:t>Pour déterminer le revenu d'invalide de l'assuré, il faut en l'absence d'un revenu effectivement réalisé se référer aux données salariales, telles qu'elles résultent des ESS (ATF 126 V 75 consid. 3b).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du Tribunal fédéral 8C_801/2021 du 28 juin 2022 consid. 2.3 et les références). Dans le cas d’un assuré qui avait été durant plus de trente ans directeur de sa société, laquelle avait</w:t>
      </w:r>
    </w:p>
    <w:p>
      <w:r>
        <w:t>A/1462/2023 - 12/18 - employé jusqu'à une centaine de salariés, dont l’activité de direction comprenait 50% de tâches administratives et 50% d'activités physiques, dans les locaux de l'entreprise ou sur les chantiers, le Tribunal fédéral a confirmé un niveau global de compétence 3 pour déterminer le revenu sans invalidité. Au vu des tâches physiques dont l'intéressé s'acquittait, le niveau 4 apparaissait excessif, tandis que le niveau 2 ne tenait pas suffisamment compte des tâches nombreuses et complexes qu'impliquait la direction d'une entreprise comptant cent employés, ni de la longue expérience de l'assuré dans cette fonction, qui compensait largement l'absence de formation spécifique (arrêt du Tribunal fédéral 8C_50/2022 du</w:t>
      </w:r>
    </w:p>
    <w:p>
      <w:r>
        <w:rPr>
          <w:b/>
        </w:rPr>
        <w:t>E. 7.2.1</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7.2.2</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7.2.3</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w:t>
      </w:r>
    </w:p>
    <w:p>
      <w:r>
        <w:t>A/1462/2023 - 13/18 -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8. En l’espèce, il convient en préambule de noter que le recourant ne conteste pas que son état de santé était stabilisé au 1er août 2022. Ses griefs ont essentiellement trait aux modalités du calcul d’invalidité et à l’octroi d’une indemnité pour atteinte à l'intégrité psychique. 8.1 On peut d’emblée écarter ses prétentions en tant qu’elles portent sur l’allocation d’une telle indemnité. En effet, il n’existe aucune atteinte psychique documentée au dossier. Les médecins de la CRR ont spécifiquement exclu un trouble de cet ordre, et aucun des intervenants n’a signalé de symptômes qui pourraient suggérer une atteinte de la sphère psychique. Le recourant ne produit aucun rapport médical qui mentionnerait une pathologie psychique. Dans ces conditions, on ne saurait se satisfaire de ses allégations, toutes générales et plutôt vagues, sur l’incidence de son atteinte physique dans son quotidien. De plus, l’impact des limitations fonctionnelles et des douleurs physiques qu’il mentionne dans ce cadre est précisément pris en compte dans la détermination de l’indemnité pour atteinte à l'intégrité due sur le plan somatique, conformément aux principes régissant sa fixation. Celle-ci a été établie par le Dr I______, qui en a motivé le taux en référence aux tables d’indemnisation de la SUVA, et aucun autre médecin n’a procédé à une évaluation différente. Il n’y a ainsi pas de motif de revenir sur l’indemnité pour atteinte à l'intégrité de 15% allouée par l’intimée. 8.2 En ce qui concerne le calcul du degré d’invalidité, l’intimée y a procédé en fonction de la capacité de travail totale dans une activité adaptée retenue par son médecin d’arrondissement. Une telle capacité avait du reste également été admise pour le futur par les médecins de la CRR. Or, les conclusions du Dr I______ et celles des Drs G______ et H______ ont été émises au terme d’examens établis en connaissance du dossier médical du recourant, après un status détaillé incluant le recueil des plaintes et de l’anamnèse. Leurs rapports doivent ainsi se voir reconnaître valeur probante, conformément à la jurisprudence.</w:t>
      </w:r>
    </w:p>
    <w:p>
      <w:r>
        <w:t>A/1462/2023 - 14/18 - Il n’existe du reste aucun avis médical contredisant leurs conclusions. Dans ce cadre, on relève que le dernier arrêt de travail attesté par le Dr C______ couvre la période jusqu’au 31 juillet 2022, soit avant la période litigieuse. Ce chirurgien ne s’est de plus jamais expressément prononcé sur l’exigibilité de l’exercice d’une activité adaptée aux limitations fonctionnelles. Le recourant objecte que ses douleurs rendent impossible une activité à plein temps, sans toutefois produire un avis médical étayant cette assertion. Le très bref certificat du Dr K______, qui fait uniquement état d’un suivi médical, n’y suffit à l’évidence pas. En outre, la propre appréciation de sa capacité de travail par le recourant ne saurait l’emporter sur l’évaluation médico-théorique des médecins, établie en fonction notamment de leurs constatations objectives et de l’expérience médicale. Partant, on se ralliera à l’appréciation du Dr I______, selon laquelle le recourant dispose dès le 1er août 2022 d’une capacité de travail complète et sans diminution de rendement dans un poste sans activité répétitive en force au-dessus des épaules, sans port de charges de plus de 5 kg au-dessus des épaules et de manière répétitive de plus de 20 à 25 kg en-dessous des épaules. Au vu de ce qui précède, la chambre de céans ne procédera pas à l’audition du recourant et du Dr K______, par appréciation anticipée des preuves (arrêt du Tribunal fédéral 9C_97/2020 du 10 juin 2020 consid. 3.2). Il convient ainsi de procéder au calcul d’invalidité sur cette base. 8.2.1 S’agissant du revenu sans invalidité, l’intimée l’a fixé en référence au salaire statistique que le recourant pourrait prétendre dans une activité simple et répétitive dans la construction. Contrairement à ce que soutient celui-ci, c’est à juste titre qu’elle s’est écartée de son salaire réel, puisque le poste qu’il occupait auprès de B______ n’existe plus à la suite de la dissolution de cet employeur pour faillite en juillet 2021. Le recourant échoue à démontrer que son emploi se serait poursuivi aux mêmes conditions pour J______. Il n’y a en effet pas eu de transfert d’entreprise au sens des art. 333 ss du Code des obligations suisse (CO – RS 220). J______ a du reste été créée plus d’une année après la dissolution de B______ selon l’extrait du registre du commerce. Enfin, si le courrier de J______ produit à l’appui du recours évoque la question d’un engagement, il n’en ressort pas que les conditions de travail – et en particulier le salaire – auraient été les mêmes qu’auprès de son ancien employeur. On se référera ainsi bien au salaire statistique dans le secteur de la construction. S’agissant du niveau de compétence, le recourant ne dispose pas d’une formation achevée par un diplôme dans son ancien domaine d’activité. Selon son extrait de compte individuel, il a certes été actif plusieurs années en tant que ferrailleur jusqu’à 2010, avant de connaître une période sans activité lucrative – à l’exception de brèves missions – jusqu’à son engagement par B______ en 2019. Cela ne suffit pas à retenir une expérience « exceptionnelle », comme il le soutient, ni de compétences particulières en matière de direction ou de gestion d’équipe. Il n’est</w:t>
      </w:r>
    </w:p>
    <w:p>
      <w:r>
        <w:t>A/1462/2023 - 15/18 - pas établi qu’il ait été chef d’équipe avant d’endosser cette responsabilité de mars 2019, date de son engagement, à juillet 2019, date de son accident. Le fait qu’il ait travaillé en tant que ferrailleur indépendant de 2006 à décembre 2010 ne permet pas une autre appréciation. Les revenus réalisés à son compte sont relativement modestes, sauf pour 2007 (CHF 91'178.-) et 2010 (CHF 62'341.-). En effet, ils s’élèvent à moins de CHF 23'224.- en 2006, CHF 37'900.- en 2008 et CHF 0.- en 2009, ce qui tend à suggérer que le recourant n’exploitait pas une entreprise d’envergure impliquant d’importantes tâches de direction et d’administration. Ainsi, c’est à bon droit que l’intimée a pris en considération un niveau de compétence 1. Cela représente un revenu de CHF 5'731.- par mois en 2020, soit CHF 68'772.-. Une fois adapté à la durée normale de travail de 41.5 heures dans le secteur de la construction et à l’indexation dans ce secteur jusqu’en 2022 (moins 0,7% en 2021 et 2% en 2022), on obtient bien un revenu sans invalidité de CHF 72'269.-. À ce sujet, on soulignera que la table statistique concernant l’évolution des salaires en 2022 a été publiée le 24 avril 2023, soit après la décision querellée, de sorte qu’on doit s’en tenir aux facteurs d’indexation trimestriels appliqués par l’intimée, conformément à la jurisprudence. 8.2.2 Quant au revenu après invalidité, on rappellera en premier lieu que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caractère irréaliste des possibilités de travail doit alors découler de l'atteinte à la santé, puisqu'une telle atteinte est indispensable à la reconnaissance de l'invalidité (art. 7 et 8 LPGA), et non de facteurs psychosociaux ou socioculturels étrangers à la définition juridique de l'invalidité (arrêt du Tribunal fédéral 9C_286/2015 du 12 janvier 2016 consid. 4.2 et les références). En l’espèce, les limitations fonctionnelles – relevant pour l’essentiel de mesures d’épargne du membre supérieur gauche – ne sont pas d’une ampleur telle qu’il faille exclure un éventail suffisant de postes adaptés sur un marché équilibré du travail. Il n’est ainsi pas critiquable que sur cette base, l’intimée ait fixé le revenu d’invalide en fonction du salaire tiré d’activités</w:t>
      </w:r>
    </w:p>
    <w:p>
      <w:r>
        <w:t>A/1462/2023 - 16/18 - simples et répétitives, tous domaines confondus (Ligne Total), selon l’ESS 2020 (TA1_tirage_skill_level). Ce revenu de CHF 5'261.- par mois et CHF 63'132.- par an s’élève à CHF 66'661.49 après indexation en 2022. 8.2.3 En ce qui concerne l’abattement, le recourant soutient qu’il devrait être revu à la hausse, eu égard à ses douleurs, à son âge, à son manque de formation et à ses difficultés linguistiques. S’agissant des douleurs, elles doivent être prises en compte dans l’établissement de la capacité de travail et des éventuelles limitations fonctionnelles, mais ne constituent pas en tant que telles un facteur de réduction du salaire au sens de la jurisprudence. En l’espèce, bien que des douleurs aient été rapportées par les médecins de la CRR et le Dr I______, ceux-ci n’en ont pas inféré de diminution de la capacité de travail, et il n’existe comme on l’a vu aucun élément médical qui justifierait que l’on se distancie de leur appréciation. En ce qui concerne l’âge et l’éventuel abattement qu’il peut justifier en matière d’assurance-accidents, le Tribunal fédéral a considéré que ce facteur n’était pas déterminant chez des assurés âgés de 52 ans et 59 ans respectivement (arrêts du Tribunal fédéral 8C_576/2022 du 1er juin 2023 consid. 6.2.3 et 8C_175/2020 du 22 septembre 2020 consid. 4.2). On ne peut parvenir à une autre conclusion dans le cas du recourant, qui a atteint l’âge de 54 ans l’année de naissance du droit à la rente. Le manque de formation n'est pas non plus déterminant, dès lors qu'il s'agit d'un facteur étranger à l'invalidité (arrêt du Tribunal fédéral 9C_474/2010 du 11 avril 2011 consid. 3.2). L’absence de formation n’a en outre pas à être prise en considération dans la fixation de l’abattement, dès lors que les activités simples et répétitives visées par le niveau 1 du TA1_tirage_skill_level ne requièrent par définition pas de formation autre qu’une mise au courant initiale (arrêt du Tribunal fédéral 9C_633/2016 du 28 décembre 2016 consid. 4.3). Des connaissances linguistiques limitées – étant précisé que le recourant maîtrise le français à l’oral selon le dossier de l’intimée – sont également un facteur étranger à l'invalidité (arrêt du Tribunal fédéral 9C_344/2015 du 25 novembre 2015 consid. 2.3). En outre, les activités simples et répétitives correspondant au niveau 4 jusqu'à l'ESS 2010 et au niveau 1 dès l'ESS 2012 ne supposent par définition pas de bonnes connaissances linguistiques (arrêt du Tribunal fédéral 9C_426/2014 du 18 août 2014 consid. 4.2). L’intimée a fixé l’abattement à 5%, se fondant sur les limitations fonctionnelles du recourant. Ce faisant, elle est restée dans les limites de son pouvoir d’appréciation. Partant, cette réduction du revenu statistique reste adéquate, même si elle se situe peut-être dans la fourchette basse. Cela ne suffit toutefois pas pour que la chambre de céans substitue son appréciation à celle de l’intimée. Ce point du calcul doit ainsi également être confirmé. Il réduit le revenu sans invalidité à CHF 63'328.42. La comparaison des revenus aboutit ainsi à un degré d’invalidité de 12,37%, qui sera arrondi à 12% selon les règles (ATF 130 V 121 consid. 3.2).</w:t>
      </w:r>
    </w:p>
    <w:p>
      <w:r>
        <w:t>A/1462/2023 - 17/18 - 8.3 Compte tenu des éléments qui précèdent, la décision de l’intimée est conforme au droit et doit ainsi être confirmée. 9. Le recours est rejeté. Le recourant, qui succombe, n’a pas droit à des dépens (art. 61 let. g LPGA). Pour le surplus, la procédure est gratuite (art. 61 fbis LPGA a contrario).</w:t>
      </w:r>
    </w:p>
    <w:p>
      <w:r>
        <w:t>A/1462/2023 - 18/18 - PAR CES MOTIFS, LA CHAMBRE DES ASSURANCES SOCIALES : Statuant À la forme :</w:t>
      </w:r>
    </w:p>
    <w:p>
      <w:r>
        <w:rPr>
          <w:b/>
        </w:rPr>
        <w:t>E. 11</w:t>
      </w:r>
    </w:p>
    <w:p>
      <w:r>
        <w:t>août 2022 consid. 5.4).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