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ATAS/853/2022 vom 28. September 2022</w:t>
      </w:r>
    </w:p>
    <w:p>
      <w:r>
        <w:t>GE Cour de justice, 2022-09-28, FR</w:t>
      </w:r>
    </w:p>
    <w:p>
      <w:r>
        <w:rPr>
          <w:b/>
        </w:rPr>
        <w:t xml:space="preserve">Quelle: </w:t>
      </w:r>
      <w:r>
        <w:t>https://mcp.opencaselaw.ch/entscheid/ge_gerichte_ATAS_853_2022</w:t>
      </w:r>
    </w:p>
    <w:p>
      <w:r>
        <w:t>FR: GE_GERICHTE ATAS/853/2022 du 28 septembre 2022</w:t>
      </w:r>
    </w:p>
    <w:p>
      <w:r>
        <w:t>IT: GE_GERICHTE ATAS/853/2022 del 28 settembre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en cause ayant été domiciliée dans le canton de Genève du 28 août 2015 jusqu’au jour de sa radiation, le 19 octobre 2017, la chambre de céans est également compétente ratione loci.</w:t>
      </w:r>
    </w:p>
    <w:p>
      <w:r>
        <w:rPr>
          <w:b/>
        </w:rPr>
        <w:t>E. 2</w:t>
      </w:r>
    </w:p>
    <w:p>
      <w:r>
        <w:t>À teneur de l'art. 1 al. 1 LAVS, les dispositions de la LPGA s'appliquent aux art. 1 à 97 LAVS,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Interjeté en temps utile, le recours est recevable (art. 60 LPGA).</w:t>
      </w:r>
    </w:p>
    <w:p>
      <w:r>
        <w:rPr>
          <w:b/>
        </w:rPr>
        <w:t>E. 5</w:t>
      </w:r>
    </w:p>
    <w:p>
      <w:r>
        <w:t>Le 1er janvier 2020 est entrée en vigueur la révision du droit de la prescription du CO, entraînant la modification de l’art. 52 al. 3 LAVS.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w:t>
      </w:r>
    </w:p>
    <w:p>
      <w:r>
        <w:rPr>
          <w:b/>
        </w:rPr>
        <w:t>E. 6</w:t>
      </w:r>
    </w:p>
    <w:p>
      <w:r>
        <w:t>Lors de l’audience de comparution personnelle, le recourant a requis l’appel en cause de MM. C______ et D______. L’intimée ne s’y est pas opposée et a précisé</w:t>
      </w:r>
    </w:p>
    <w:p>
      <w:r>
        <w:t>A/172/2021 - 5/14 - avoir agi contre ces deux derniers en réparation du dommage et que ceux-ci n’avaient pas recouru contre ses décisions. Il sera renoncé à l’appel en cause de M. C______, qui n’a pas pu comparaître à l’audience à laquelle il était convoqué pour des raisons de santé et qui n’a pas marqué d’intérêt pour la procédure en cours. Il sera également renoncé à appeler en cause M. D______, qui n’a pas pu être localisé.</w:t>
      </w:r>
    </w:p>
    <w:p>
      <w:r>
        <w:rPr>
          <w:b/>
        </w:rPr>
        <w:t>E. 7</w:t>
      </w:r>
    </w:p>
    <w:p>
      <w:r>
        <w:t>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8</w:t>
      </w:r>
    </w:p>
    <w:p>
      <w:r>
        <w:t>À titre liminaire, il convient d’examiner si la prétention de la caisse est prescrite.</w:t>
      </w:r>
    </w:p>
    <w:p>
      <w:r>
        <w:rPr>
          <w:b/>
        </w:rPr>
        <w:t>E. 8.1.1</w:t>
      </w:r>
    </w:p>
    <w:p>
      <w:r>
        <w:t>Les délais prévus par l’art. 52 al. 3 aLAVS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193 consid. 2.2;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w:t>
      </w:r>
    </w:p>
    <w:p>
      <w:r>
        <w:t>A/172/2021 - 6/14 - partir de laquelle court le délai de 5 ans (ATF 129 V 193 consid. 2.2 ; ATF 123 V</w:t>
      </w:r>
    </w:p>
    <w:p>
      <w:r>
        <w:rPr>
          <w:b/>
        </w:rPr>
        <w:t>E. 8.1.2</w:t>
      </w:r>
    </w:p>
    <w:p>
      <w:r>
        <w:t>Selon l’art. 938a al. 1 CO, en vigueur lors de la décision du 18 octobre 2019, lorsqu’une société n’exerce plus d’activités et n’a plus d’actifs réalisables, le préposé au registre du commerce peut la radier du registre du commerce après une triple sommation publique demeurée sans résultat. Selon l’art. 155 de l’ordonnance sur le registre du commerce du 17 octobre 2007 (ORC - 221.411), lorsqu’une entité juridique n’exerce plus d’activités et n’a plus d’actifs réalisables, l’office du registre du commerce somme l’organe supérieur de direction ou d’administration de cette dernière de requérir la radiation ou de lui</w:t>
      </w:r>
    </w:p>
    <w:p>
      <w:r>
        <w:t>A/172/2021 - 7/14 - communiquer les motifs d’un maintien de l’inscription dans les trente jours. Il mentionne les dispositions applicables et les conséquences juridiques d’un non- respect de cette obligation. Selon l’al. 2 de la même disposition, lorsque personne n’a fait valoir d’intérêt au maintien de l’inscription dans les 30 jours à partir de la dernière publication de la sommation, l’office du registre du commerce radie l’entité juridique du registre du commerce (art. 938a al. 1 CO).</w:t>
      </w:r>
    </w:p>
    <w:p>
      <w:r>
        <w:rPr>
          <w:b/>
        </w:rPr>
        <w:t>E. 8.2.1</w:t>
      </w:r>
    </w:p>
    <w:p>
      <w:r>
        <w:t>Le recourant fait valoir que le délai de prescription de deux ans devait être calculé depuis le premier appel aux créanciers publié dans la FOSC le</w:t>
      </w:r>
    </w:p>
    <w:p>
      <w:r>
        <w:rPr>
          <w:b/>
        </w:rPr>
        <w:t>E. 8.2.2</w:t>
      </w:r>
    </w:p>
    <w:p>
      <w:r>
        <w:t>Selon l’intimée, la publication dans la FOSC n’était pas affirmative sur la prétendue absence d’activité et d’actifs réalisables. À ce moment, il n’était pas possible d’affirmer que la caisse subissait un dommage. La caisse n’avait pu constater définitivement le dommage subi qu’au moment de la radiation de la société, à savoir le 19 octobre 2017. La décision de réparation du dommage du</w:t>
      </w:r>
    </w:p>
    <w:p>
      <w:r>
        <w:rPr>
          <w:b/>
        </w:rPr>
        <w:t>E. 8.3</w:t>
      </w:r>
    </w:p>
    <w:p>
      <w:r>
        <w:t>En l’espèce, il ressort du dossier que la caisse n’a pas obtenu d’acte de défaut de biens ou un procès-verbal de saisie valant acte de défaut de biens définitif au sens de l'art. 115 al. 1 LP, qui aurait constitué le moment de la connaissance du dommage et le point de départ du délai de prescription, en dehors de la faillite. Par ailleurs, à teneur de la publication dans la FOSC du 14 septembre 2017 et les deux suivantes, la société « ne semblait » plus avoir d’activité et ne disposait « apparemment » plus d’actifs réalisables. Tous les membres de l’organe supérieur de gestion ou d’administration, les associés et créanciers étaient sommés de communiquer au registre du commerce par écrit dans les 30 jours leur intérêt motivé au maintien de l’inscription. Si aucune opposition ne parvenait dans ce délai, la société serait radiée d’office. Sinon, l’office du registre du commerce transmettrait l’affaire au tribunal pour décision. Il en résulte qu’à cette date, l’intimée n’avait pas encore une connaissance précise de son dommage, qui dépendait notamment du résultat de cette annonce. Ce n’est qu’au moment de la radiation de la société, qu’elle en a eu une connaissance certaine. Le délai de prescription a donc commencé le 19 octobre 2017, date de la radiation de la société. La demande en réparation du 18 octobre 2019 est ainsi intervenue dans les délais de deux ans de l'art. 52 al. 3 LAVS. Le délai de prescription a été interrompu et un nouveau délai de même durée a commencé à courir le</w:t>
      </w:r>
    </w:p>
    <w:p>
      <w:r>
        <w:t>A/172/2021 - 8/14 -</w:t>
      </w:r>
    </w:p>
    <w:p>
      <w:r>
        <w:rPr>
          <w:b/>
        </w:rPr>
        <w:t>E. 12</w:t>
      </w:r>
    </w:p>
    <w:p>
      <w:r>
        <w:t>consid. 5c). Selon la jurisprudence rendue à propos de l'ancien art. 82 al. 1 du règlement sur l'assurance-vieillesse et survivants du 31 octobre 1947 (RAVS - RS 831.101)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de la loi fédérale sur la poursuite pour dettes et la faillite du 11 avril 1889 (LP - RS 281.1),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(CO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12.1.1</w:t>
      </w:r>
    </w:p>
    <w:p>
      <w:r>
        <w:t>Le recourant a fait valoir que le montant calculé par l’intimée était incorrect, car pour l’année 2016, celle-ci s’était contentée d’un calcul au pro rata pour déterminer le montant du dommage qu’elle réclamait au recourant. Ce calcul n’était pas admissible, puisque l’on ne pouvait admettre que les salaires versés par la société étaient identiques de mois en mois, sachant que le chiffre d’affaires de la société était constitué de commissions de courtage et qu’il était usuel en pratique que le salaire des courtiers en assurances comporte une part variable très importante et donc des rémunérations mensuelles qui variaient fortement. De plus, un calcul au pro rata ne tenait pas compte des versements plus importants effectués en fin d’année sous forme de bonus ou de treizième salaire. La cause devait ainsi être renvoyée à l’intimée pour qu’elle établisse précisément le dommage afférant à la période pendant laquelle le recourant était organe de la société. Le recourant relevait également que le fait qu’il avait payé la part pénale dans le cadre de la procédure pénale ne valait pas reconnaissance du calcul établi par l’intimée. Ce paiement était intervenu afin de mettre fin au plus vite aux poursuites pénales.</w:t>
      </w:r>
    </w:p>
    <w:p>
      <w:r>
        <w:t>A/172/2021 - 11/14 -</w:t>
      </w:r>
    </w:p>
    <w:p>
      <w:r>
        <w:rPr>
          <w:b/>
        </w:rPr>
        <w:t>E. 12.1.2</w:t>
      </w:r>
    </w:p>
    <w:p>
      <w:r>
        <w:t>L’intimée a répondu que le dommage avait été calculé sur la base des créances de cotisations paritaires exigibles et restées impayées par la société. La caisse fixait des acomptes (mensuels ou trimestriels) sur la base des premières annonces des employeurs ainsi que des périodes précédentes, si elle ne recevait pas d’informations complémentaires pendant la période en cause. Par la suite, elle fixait le montant de la créance de manière définitive après réception de l’attestation de salaire qui communiquait (au plus tôt fin janvier de la période subséquente) le montant de la masse salariale effectivement versée. L’employeur avait l’obligation légale d’informer la caisse de toute variation de la masse salariale de plus de 10% afin de pouvoir adapter en conséquence les acomptes. Les caisses de compensation n’avaient aucune obligation d’investiguer les différents modèles de rétribution périodique des salariés des personnes morales (hebdomadaires, mensuelles, par commission etc.). Elle affiliait différentes sortes d’employeurs et il était objectivement impensable de devoir établir, par obligation légale, le montant des salaires versés à un moment précis d’une période donnée. La caisse n’avait pas d’accès à la comptabilité de ses affiliés et aucun moyen ni l’obligation d’établir les montants des salaires qui avaient été effectivement versés jusqu’à une certaine date de l’année civile.</w:t>
      </w:r>
    </w:p>
    <w:p>
      <w:r>
        <w:rPr>
          <w:b/>
        </w:rPr>
        <w:t>E. 12.2.1</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Pendant l’année, les employeurs doivent verser périodiquement des acomptes de cotisations (art. 35 al. 1 RAVS). Les acomptes de cotisations sont des cotisations fixées provisoirement par la caisse de compensation (n. 2045 DP). Une fois l’année civile écoulée, la caisse de compensation établit le solde sur la base du décompte de l’employeur (n. 2082 ss ; art. 36 RAVS) (n. 2046 DP). Pour fixer les acomptes de cotisations, la caisse de compensation se base sur la masse salariale probable (art. 35, al. 1, RAVS) (n. 2048 DP). La caisse de compensation se fonde sur la dernière masse salariale connue, compte tenu de l’évolution probable des salaires (n. 2049 DP). Au terme de la période de décompte (voir nos 2075 s.), les employeurs fournissent les indications nécessaires à l’inscription au CI (voir no 2070). Ce faisant, ils indiquent aussi le montant total des salaires versés à leurs salariés tenus de payer des cotisations pendant la période de décompte (art. 36 RAVS) (n. 2068 DP).</w:t>
      </w:r>
    </w:p>
    <w:p>
      <w:r>
        <w:t>A/172/2021 - 12/14 - La caisse de compensation établit le solde entre les acomptes versés et les cotisations effectivement dues, sur la base du décompte (art. 36, al. 4, RAVS) (n. 2082 DP). Les cotisations encore dues (cotisations à payer sur la base du décompte) doivent être versées à la caisse de compensation dans les 30 jours à compter de la facturation (art. 36, al. 4, RAVS) (n. 2083 DP). Une restitution tardive par la caisse de compensation entraîne le paiement d’intérêts rémunératoires (art. 41ter, al. 3, RAVS) (n. 2087 DP).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w:t>
      </w:r>
    </w:p>
    <w:p>
      <w:r>
        <w:rPr>
          <w:b/>
        </w:rPr>
        <w:t>E. 12.2.2</w:t>
      </w:r>
    </w:p>
    <w:p>
      <w:r>
        <w:t>Par arrêt du 30 janvier 2020 (ATAS/79/2020), la chambre de céans a jugé qu’il n’existe pas de base légale suffisante pour rechercher les employeurs ou leurs organes pour le dommage résultant du défaut de paiement des cotisations dues en vertu de la loi instituant une assurance en cas de maternité et d'adoption du 21 avril 2005 (LAMat - J 5 07).</w:t>
      </w:r>
    </w:p>
    <w:p>
      <w:r>
        <w:rPr>
          <w:b/>
        </w:rPr>
        <w:t>E. 12.3.1</w:t>
      </w:r>
    </w:p>
    <w:p>
      <w:r>
        <w:t>En l’espèce, le dommage a été calculé sur la base des créances de cotisations paritaires exigibles et restées impayées par la société au pro rata du temps pendant lequel le recourant est resté organe de la société en 2016. L’intimée n’avait pas à tenir compte des salaires effectivement payés chaque mois, étant rappelé que l’intimée établit la facture finale de cotisation après réception de l’attestation de salaire qui communique (au plus tôt fin janvier de la période subséquente) le montant de la masse salariale effectivement versée durant l’année de manière globale, sans détail sur les variations mensuelles.</w:t>
      </w:r>
    </w:p>
    <w:p>
      <w:r>
        <w:rPr>
          <w:b/>
        </w:rPr>
        <w:t>E. 12.3.2</w:t>
      </w:r>
    </w:p>
    <w:p>
      <w:r>
        <w:t>En l’occurrence, le recourant a produit un procès-verbal de l’assemblée des associés établissant qu’il avait démissionné le 23 mai 2016. Il en résulte que l’intimée devra reprendre le calcul du dommage en tenant compte de cette date et non du 15 septembre 2016, pour établir le dommage. Elle devra également tenir compte des paiements effectués sur le montant du dommage depuis la décision querellée et déduire le montant des cotisations à la LAMat ainsi que des intérêts moratoires et frais administratifs afférents à ce montant. 13. Le recours est ainsi partiellement admis. La décision litigieuse du 1er décembre 2020 sera annulée et la cause renvoyée à l’intimée pour nouveau calcul au sens des considérants et nouvelle décision.</w:t>
      </w:r>
    </w:p>
    <w:p>
      <w:r>
        <w:t>A/172/2021 - 13/14 - 14. Le recourant obtenant partiellement gain de cause, une indemnité pour ses dépens de CHF 1'500.- lui sera octroyée à la charge de l’intimée (art. 61 let. g LPGA, art. 6 du règlement sur les frais, émoluments et indemnités en matière administrative du 30 juillet 1986 [RFPA - E 5 10.03]). 15. Pour le surplus, la procédure est gratuite (art. 61 let. a LPGA).</w:t>
      </w:r>
    </w:p>
    <w:p>
      <w:r>
        <w:t>A/172/2021 - 14/14 - PAR CES MOTIFS, LA CHAMBRE DES ASSURANCES SOCIALES : Statuant À la forme : 1. Déclare le recours recevable. Au fond : 2. L’admet partiellement. 3. Annule la décision sur opposition du 1er décembre 2020 et renvoie la cause à l’intimée pour nouveau calcul au sens des considérants et nouvelle décision. 4. Alloue au recourant une indemnité de dépens de CHF 1'500.- à la charge de l’intimée.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des assurances sociales par le greffe le</w:t>
      </w:r>
    </w:p>
    <w:p>
      <w:r>
        <w:rPr>
          <w:b/>
        </w:rPr>
        <w:t>E. 14</w:t>
      </w:r>
    </w:p>
    <w:p>
      <w:r>
        <w:t>septembre 2017 qui indiquait expressément que, selon le registre du commerce, la société ne disposait plus d’actifs réalisables. À partir de cette date, l’intimée connaissait ou devait connaître l’existence de son dommage et que celui- ci ne pourrait plus être récupéré auprès de la société et qu’il fallait agir à l’encontre des organes de celle-ci.</w:t>
      </w:r>
    </w:p>
    <w:p>
      <w:r>
        <w:rPr>
          <w:b/>
        </w:rPr>
        <w:t>E. 18</w:t>
      </w:r>
    </w:p>
    <w:p>
      <w:r>
        <w:t>octobre 2019 respectait ainsi l’ancien délai de prescription de deux ans applicable en l’espèce.</w:t>
      </w:r>
    </w:p>
    <w:p>
      <w:r>
        <w:rPr>
          <w:b/>
        </w:rPr>
        <w:t>E. 20</w:t>
      </w:r>
    </w:p>
    <w:p>
      <w:r>
        <w:t>novembre 2019 (opposition), le 1er décembre 2020 (décision sur opposition) et le 18 janvier 2021 (recours) de sorte que la prescription n'est pas acquise. Le délai de prescription de cinq ans dès la survenance du dommage n’est pas non plus atteint. 9. Il convient à présent d’examiner si le recourant peut être considéré comme étant « l’employeur » tenu de verser les cotisations à l’intimée. 9.1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du Tribunal fédéral des assurances H 252/01 du 14 mai 2002 consid. 3b et d, in VSI 2002 p. 176; arrêt du Tribunal fédéral 9C_344/2011 du 3 février 2012 consid. 3.2). Ils ont l'obligation de se faire renseigner périodiquement sur la marche des affaires, ce qui inclut notamment la surveillance du paiement des cotisations sociales paritaires; ils sont tenus en corollaire de prendre les mesures appropriées lorsqu'ils ont connaissance ou auraient dû avoir connaissance d'irrégularités commises dans la gestion de la société (ATF 114 V 219 consid. 4a; voir également arrêt du Tribunal fédéral 9C_152/2009 du 18 novembre 2009 consid. 6.1, in SVR 2010 AHV n° 4 p. 11). 9.2 En l’espèce, le recourant revêtant la qualité d’organe formel de la société, il doit répondre du dommage si les autres conditions sont remplies. 10. Il convient maintenant de déterminer s’il a commis une faute qualifiée ou une négligence grave au sens de l’art. 52 al. 1 LAVS. 10.1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w:t>
      </w:r>
    </w:p>
    <w:p>
      <w:r>
        <w:t>A/172/2021 - 9/14 -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Commet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10.2 En l’espèce, le recourant ne conteste plus dans son recours que la condition de la faute grave est remplie. En sa qualité d’organe formel de l’association, il lui appartenait de veiller au respect des prescriptions légales en matière de versement des cotisations sociales, quand bien même il ne s’occupait pas au quotidien de la gestion de la société. Or, il n’a pas fait le nécessaire pour que les cotisations soient payées dès le 1er septembre 2015. À teneur de ses déclarations, il a accepté le rôle de gérant pour rendre service aux deux associés qui habitaient en France et avaient besoin d'un gérant résidant en Suisse et ne s’est pas occupé de gérer concrètement la société, pour laquelle il travaillait seulement en tant que comptable externe. Son rôle s’apparentait ainsi à celui d’un homme de paille. Il n’a en outre pas démissionné avant le 23 mai 2016, selon le procès-verbal de l’assemblée du même jour, alors que selon ses propres dires, il n’avait plus du tout de visibilité sur les affaires de la société dès le début de la même année, les deux animateurs de celle-ci ne lui ayant plus transmis les pièces comptables, ni les relevés bancaires, alors que dans ce cas de figure, il devait démissionner sans délai (arrêt du Tribunal fédéral 9C_442/2014 du 24 novembre 2014, consid. 5.3.).</w:t>
      </w:r>
    </w:p>
    <w:p>
      <w:r>
        <w:t>A/172/2021 - 10/14 - 11. La responsabilité de l'employeur au sens de l'art. 52 LAVS suppose enfin un rapport de causalité naturelle et adéquate entre la violation intentionnelle ou par négligence grave des prescriptions et la survenance du dommage. 11.1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11.2 En l’espèce, dès lors que s’il avait correctement exécuté son mandat, le recourant aurait pu influer sur le paiement des cotisations aux assurances sociales, son comportement a favorisé la survenance du préjudice et la condition du lien de causalité est remplie. Celui-ci n’a en outre pas été interrompu en l’espèce par le comportement des autres organes de la société.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