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ATAS/853/2012 vom 25. Juni 2012</w:t>
      </w:r>
    </w:p>
    <w:p>
      <w:r>
        <w:t>GE Cour de justice, 2012-06-25, FR</w:t>
      </w:r>
    </w:p>
    <w:p>
      <w:r>
        <w:rPr>
          <w:b/>
        </w:rPr>
        <w:t xml:space="preserve">Quelle: </w:t>
      </w:r>
      <w:r>
        <w:t>https://mcp.opencaselaw.ch/entscheid/ge_gerichte_ATAS_853_2012</w:t>
      </w:r>
    </w:p>
    <w:p>
      <w:r>
        <w:t>FR: GE_GERICHTE ATAS/853/2012 du 25 juin 2012</w:t>
      </w:r>
    </w:p>
    <w:p>
      <w:r>
        <w:t>IT: GE_GERICHTE ATAS/853/2012 del 25 giugno 2012</w:t>
      </w:r>
    </w:p>
    <w:p>
      <w:pPr>
        <w:pStyle w:val="Heading2"/>
      </w:pPr>
      <w:r>
        <w:t>Erwägungen</w:t>
      </w:r>
    </w:p>
    <w:p>
      <w:r>
        <w:rPr>
          <w:b/>
        </w:rPr>
        <w:t>E. 1</w:t>
      </w:r>
    </w:p>
    <w:p>
      <w:r>
        <w:t>Conformément à l'art. 134 al. 3 let. d de la loi sur l'organisation judiciaire, du 26 septembre 2010 (LOJ; RS E 2 05), la Chambre des assurances sociales de la Cour de justice connaît en instance unique des contestations prévues à l'art. 38 de la loi cantonale sur les prestations cantonales accordées aux chômeurs en fin de droit, du 18 novembre 1994 (aLRMCAS; RS J 2 25). Sa compétence pour juger du cas d’espèce est ainsi établie. Le recours, interjeté en temps utile, est recevable (art. 38 aLRMCAS). La décision litigieuse ayant été rendue avant la suppression de la LRMCAS, la Cour doit examiner son bien-fondé au regard de cette loi, qui était alors applicable (cf. ATF 129 V 1 consid. 1; ATF 127 V 467 consid. 1 et les références).</w:t>
      </w:r>
    </w:p>
    <w:p>
      <w:r>
        <w:t>A/705/2012 - 4/7 -</w:t>
      </w:r>
    </w:p>
    <w:p>
      <w:r>
        <w:rPr>
          <w:b/>
        </w:rPr>
        <w:t>E. 2</w:t>
      </w:r>
    </w:p>
    <w:p>
      <w:r>
        <w:t>Est litigieuse la question de savoir si l'intimé était fondé à mettre fin à ses prestations. La recourante conteste avoir travaillé pour X___________ SA en avril 2011 déjà, son contrat indiquant une entrée en fonction le 15 juin 2011. Le compte n° _______ avait été ouvert bien avant la demande de prestations. Il était destiné à couvrir les frais liés aux frais de l'appartement. Les montants ayant transité par ce compte ne portaient pas sur une modification sensible de la situation financière de la recourante. Enfin, elle ne formait pas ménage commun avec W___________. Il ne pouvait ainsi lui être reproché d'avoir omis d'informer l'intimé d'une modification sensible de sa situation financière. La décision de suppression était ainsi arbitraire, le degré de la faute qui pourrait être retenue ne la justifiant pas. a. La loi genevoise sur les prestations cantonales accordées aux chômeurs en fin de droit du 18 novembre 1994, en vigueur jusqu'au 31 janvier 2012 (ci-après aLRMCAS), accordait aux personnes qui étaient au chômage et avaient épuisé leurs droits aux prestations de l’assurance-chômage (régime fédéral et régime cantonal) un droit à un revenu minimum cantonal d’aide sociale (RMCAS), versé par l’Hospice Général, ce afin d’éviter qu’elles doivent recourir à l’assistance publique (art. 1 aLRMCAS). L’art. 10 al. 3 aLRMCAS prévoyait que toutes pièces utiles concernant, notamment, les ressources et la fortune de l’intéressé devaient être fournies. Selon l'art. 11 aLRMCAS, le bénéficiaire du revenu minimum cantonal d’aide sociale devait déclarer à l’Hospice général tout fait de nature à entraîner la modification du montant des prestations qui lui étaient allouées. A défaut, l’Hospice général pouvait suspendre ou supprimer le versement de la prestation lorsque le bénéficiaire refuse de fournir ou tarde à remettre les renseignements demandés. (cf également ATAS/248/2004, ATAS/263/2006). Par ailleurs, celui qui demandait ou percevait une prestation d’aide sociale devait fournir à l’Hospice général tous les renseignements et toutes pièces utiles au contrôle des éléments déterminants (art. 34 al. 2 aRMCAS). L’obligation de communiquer toutes informations utiles à l’Hospice général, et notamment toutes modifications des revenus ou de l’état de fortune, constitue le fondement même du droit aux prestations. L’information en était donnée au bénéficiaire par l’Hospice général, non seulement par un courrier, mais également par la signature d’un acte d’engagement qui prévoit expressément cette obligation et en explique les raisons (ATAS 551/2005 du 21 juin 2005). En prévoyant à l'art. 11 aLRMCAS, que l'administration "peut" suspendre ou supprimer le versement des prestations, le législateur a reconnu à celle-ci un pouvoir de libre appréciation. (cf Blaise KNAPP, Précis de droit administratif, 4ème édition, p. 35).</w:t>
      </w:r>
    </w:p>
    <w:p>
      <w:r>
        <w:t>A/705/2012 - 5/7 - 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c. En l'espèce, la recourante a pris l'engagement, le 30 octobre 2009, d'informer spontanément et immédiatement l'intimé de tout fait nouveau de nature à entraîner la modification du montant perçu, notamment toute modification de sa situation personnelle et économique, ainsi que de communiquer en détail tous les éléments de sa fortune. Ces engagements ont été renouvelés, par la signature de la recourante, les 16 septembre 2010 et 31 août 2011. Or, dans les trois demandes de prestations remplies aux dates précitées, la recourante n'a indiqué être titulaire que d'un seul compte bancaire, à savoir le compte n° _________ auprès du Crédit Suisse, alors qu'elle disposait d'un second compte, n° _________ en co-titularité avec W___________. Ouvert le 7 août 2009, ce compte a été régulièrement alimenté, notamment, par des versements opérés par ce dernier pour des montants totalisant 31'387 fr. 25 pour la période de du 31 janvier 2010 au 2 août 2011. Elle a ainsi clairement omis d'indiquer un élément de fortune. Par ailleurs, la recourante n'a informé l'intimé de son engagement auprès de X___________ SA que par courrier du 25 juillet 2011; elle n'a pas déclaré cet emploi lors de l'entretien qu'elle a eu avec le service des enquêtes à l'occasion de la visite domiciliaire le 21 juillet 2011. Elle disposait toutefois d'un contrat de travail écrit depuis le 22 juin 2011 en tout cas, date à laquelle elle a contresigné ledit contrat, d'une part. D'autre part, elle a perçu des versements de la part de X___________ SA pour la première fois le 6 mai 2011. Contrairement à ce qu'elle soutient, la recourante a donc commencé à travailler auprès de cet employeur en avril 2011. Dans la mesure où la forme écrite n'est pas exigée pour le contrat de travail (art. 320 al. 1 CO), l'absence d'un document écrit ne permet pas d'inférer l'inexistence d'un tel contrat. Les versements de 494 fr. 80 le 6 mai et de 225 fr. 55 le 7 juin 2011 par X___________ SA sur le compte de la recourante, d'une part, et l'indication prévue dans le contrat de travail écrit que le salaire pour le mois écoulé est versé le 6e jour du mois suivant, d'autre part, établissent, avec une vraisemblance confinant à la certitude, l'existence d'un contrat de travail à partir du mois d'avril 2011. A l'évidence, l'existence d'un compte bancaire supplémentaire, de surcroît régulièrement alimenté, et de la prise d'un emploi rémunéré sont des éléments susceptibles d'influer sur le droit et/ou l'étendue des prestations versées par l'intimé.</w:t>
      </w:r>
    </w:p>
    <w:p>
      <w:r>
        <w:t>A/705/2012 - 6/7 - L'obligation de mentionner de tels éléments est clairement stipulée dans les engagements pris par la recourante, à trois reprises. Contrairement à ce que semble alléguer la recourante, il n'appartient pas au bénéficiaire d'établir, au regard de ses propres critères, la pertinence ou non d'informations qu'il s'est engagé à fournir à l'autorité. Par ailleurs, il pouvait raisonnablement être exigé de la part de la recourante qu'elle communique les informations bancaires complètes lorsqu'elle a rempli les demandes de prestations en 2009, 2010 et 2011; la question y relative précise, en outre, l'obligation de mentionner tous les comptes bancaires ou postaux. Rien n'empêchait non plus la recourante d'indiquer, sans tarder, à savoir en avril 2011, qu'elle avait trouvé un emploi à temps partiel, quand bien même celui-ci aurait été alors temporaire. Le fait d'avoir omis de mentionner le second compte bancaire à trois reprises et d'avoir tardé à signaler la prise d'un emploi constitue une faute suffisamment importante au regard de l'obligation de renseigner pour justifier la suppression du droit aux prestations. En aucun cas, il ne peut être reproché à l'intimé d'avoir abusé de son pouvoir d'appréciation en procédant à ladite suppression. Au vu de ce qui précède, il n'est pas besoin de déterminer si la recourante forme ménage commun avec W___________, les manquements précités justifiant à eux seuls la décision querellée. Il ne sera donc pas procédé à l'audition de ce dernier. Mal fondé, le recours est ainsi rejeté. * * *</w:t>
      </w:r>
    </w:p>
    <w:p>
      <w:r>
        <w:t>A/705/2012 - 7/7 -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