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ATAS/853/2010 vom 8. Februar 2010</w:t>
      </w:r>
    </w:p>
    <w:p>
      <w:r>
        <w:t>GE Cour de justice, 2010-02-08, FR</w:t>
      </w:r>
    </w:p>
    <w:p>
      <w:r>
        <w:rPr>
          <w:b/>
        </w:rPr>
        <w:t xml:space="preserve">Quelle: </w:t>
      </w:r>
      <w:r>
        <w:t>https://mcp.opencaselaw.ch/entscheid/ge_gerichte_ATAS_853_2010</w:t>
      </w:r>
    </w:p>
    <w:p>
      <w:r>
        <w:t>FR: GE_GERICHTE ATAS/853/2010 du 8 février 2010</w:t>
      </w:r>
    </w:p>
    <w:p>
      <w:r>
        <w:t>IT: GE_GERICHTE ATAS/853/2010 del 8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La LPGA, entrée en vigueur le 1er janvier 2003, est applicable en l’espèce.</w:t>
      </w:r>
    </w:p>
    <w:p>
      <w:r>
        <w:rPr>
          <w:b/>
        </w:rPr>
        <w:t>E. 3</w:t>
      </w:r>
    </w:p>
    <w:p>
      <w:r>
        <w:t>Interjeté dans les forme et délai prescrits, le recours est recevable (art. 56 et 60 LPGA).</w:t>
      </w:r>
    </w:p>
    <w:p>
      <w:r>
        <w:rPr>
          <w:b/>
        </w:rPr>
        <w:t>E. 4</w:t>
      </w:r>
    </w:p>
    <w:p>
      <w:r>
        <w:t>Le litige consiste à déterminer si l’intimé était fondé à prononcer une suspension du droit à l’indemnité du recourant pour une durée de 31 jours.</w:t>
      </w:r>
    </w:p>
    <w:p>
      <w:r>
        <w:rPr>
          <w:b/>
        </w:rPr>
        <w:t>E. 5</w:t>
      </w:r>
    </w:p>
    <w:p>
      <w:r>
        <w:t>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 teneur de l'art. 30 al. 3, 3ème phrase, LACI, la durée de la suspension du droit à l'indemnité de chômage est proportionnelle à la gravité de la faute et ne peut excéder, par motif de suspension, 60 jours. La durée de la suspension dans</w:t>
      </w:r>
    </w:p>
    <w:p>
      <w:r>
        <w:t>A/833/2010 - 5/8 - l'exercice du droit à l'indemnité est de 1 à 15 jours en cas de faute légère, de 16 à 30 jours en cas de faute de gravité moyenne et de 31 à 60 jours en cas de faute grave (cf. art. 45 al. 2 OACI). L'art. 45 al. 3 OACI dispose qu'il y a faute grave notamment lorsque l'assuré refuse un emploi réputé convenable sans motif valable.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w:t>
      </w:r>
    </w:p>
    <w:p>
      <w:r>
        <w:rPr>
          <w:b/>
        </w:rPr>
        <w:t>E. 6</w:t>
      </w:r>
    </w:p>
    <w:p>
      <w:r>
        <w:t>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w:t>
      </w:r>
    </w:p>
    <w:p>
      <w:r>
        <w:t>A/833/2010 - 6/8 -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w:t>
      </w:r>
    </w:p>
    <w:p>
      <w:r>
        <w:rPr>
          <w:b/>
        </w:rPr>
        <w:t>E. 7</w:t>
      </w:r>
    </w:p>
    <w:p>
      <w:r>
        <w:t>En l’espèce, l’intimé reproche au recourant de n’avoir pas donné suite à l’assignation du 7 décembre 2009. Tant dans son opposition que dans le cadre de la présente procédure, le recourant allègue n’avoir pas reçu de courrier à la maison, concernant l’assignation en question. Il a déclaré qu’un échange de courriels avait eu lieu avec sa conseillère - qu’il avait tenté de joindre durant tout le mois de novembre, sans succès - , à propos de vacances qu’il souhaitait prendre à Noël pour voir sa fille, qu’il avait ouvert sa messagerie deux jours après et qu’elle lui disait de donner suite à l’assignation. Il lui semblait que l’employeur était situé au centre ville, mais il n’a pas pu donner d’autres indications à ce propos lors de l’audience. Le Tribunal de céans relève que l’intimé n’a pas été en mesure de produire l’assignation du 7 décembre 2009, ni l’échange de courriels entre la conseillère en personnel et le recourant. Quant au recourant, il n’a pas pu retrouver non plus dans sa messagerie le courriel de sa conseillère en personnel, les données ayant été effacées. S’agissant de l’assignation, il n’y en a aucune trace au dossier. A cet égard, force est de constater que l’intimé - qui supporte la charge de la preuve de la notification</w:t>
      </w:r>
    </w:p>
    <w:p>
      <w:r>
        <w:t>A/833/2010 - 7/8 - - n’a pas été en mesure d’apporter la preuve qu’elle a été bien établie et envoyée au recourant. Quant au courriel, il n’y en a également aucune trace au dossier ; on ignore à quelle date il a été envoyé au recourant et s’il contenait des indications suffisantes quant à l’assignation en question (adresse complète de l’employeur, nom de la personne à contacter, numéro de téléphone, etc.). Or, pour une sanction aussi lourde de conséquence, il importe que les faits soient clairement établis. Tel n’est pas le cas en l’occurrence, l’intimé ayant été dans l’incapacité de produire les documents requis par le Tribunal de céans. Quant aux déclarations du recourant, elles ne permettent pas d’établir avec certitude qu’il avait pu prendre connaissance, à temps, de tous les éléments nécessaires concernant l’assignation litigieuse. Dans ces circonstances, dès lors que les faits n’ont pas été établis à satisfaction de droit, le Tribunal de céans considère qu’une sanction ne saurait être prononcée à l’encontre du recourant.</w:t>
      </w:r>
    </w:p>
    <w:p>
      <w:r>
        <w:rPr>
          <w:b/>
        </w:rPr>
        <w:t>E. 8</w:t>
      </w:r>
    </w:p>
    <w:p>
      <w:r>
        <w:t>Il convient par conséquent d’admettre le recours et d’annuler la décision litigieuse.</w:t>
      </w:r>
    </w:p>
    <w:p>
      <w:r>
        <w:t>A/833/2010 - 8/8 -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