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ATAS/852/2018 vom 27. September 2018</w:t>
      </w:r>
    </w:p>
    <w:p>
      <w:r>
        <w:t>GE Cour de justice, 2018-09-27, FR</w:t>
      </w:r>
    </w:p>
    <w:p>
      <w:r>
        <w:rPr>
          <w:b/>
        </w:rPr>
        <w:t xml:space="preserve">Quelle: </w:t>
      </w:r>
      <w:r>
        <w:t>https://mcp.opencaselaw.ch/entscheid/ge_gerichte_ATAS_852_2018</w:t>
      </w:r>
    </w:p>
    <w:p>
      <w:r>
        <w:t>FR: GE_GERICHTE ATAS/852/2018 du 27 septembre 2018</w:t>
      </w:r>
    </w:p>
    <w:p>
      <w:r>
        <w:t>IT: GE_GERICHTE ATAS/852/2018 del 27 settembre 2018</w:t>
      </w:r>
    </w:p>
    <w:p>
      <w:pPr>
        <w:pStyle w:val="Heading2"/>
      </w:pPr>
      <w:r>
        <w:t>Erwägungen</w:t>
      </w:r>
    </w:p>
    <w:p>
      <w:r>
        <w:rPr>
          <w:b/>
        </w:rPr>
        <w:t>E. 13</w:t>
      </w:r>
    </w:p>
    <w:p>
      <w:r>
        <w:t>Dans un projet de décision du 5 janvier 2018, l’OAI, s’appuyant sur les conclusions du rapport d’enquête économique, se proposait de reconnaître à l’assuré le droit à un quart de rente, basé sur un degré d’invalidité de 46 %, dès le 1er février 2016.</w:t>
      </w:r>
    </w:p>
    <w:p>
      <w:r>
        <w:rPr>
          <w:b/>
        </w:rPr>
        <w:t>E. 14</w:t>
      </w:r>
    </w:p>
    <w:p>
      <w:r>
        <w:t>Par courrier du 8 février 2018, l’assuré, par l’intermédiaire de son conseil, s’est opposé à ce projet de décision, persistant à soutenir que son taux d’invalidité s’élevait à 56,79 %. Il a réitéré les arguments précédemment développés, s’agissant du taux d’abattement de 20 %, et joint le rapport du Dr F______ du 29 janvier 2018, aux termes duquel l’insuffisance rénale chronique stable engendrait des symptômes non spécifiques, parmi lesquels une fatigabilité importante, laquelle était majorée par une anémie. Le traitement médicamenteux, indispensable à la préservation de sa fonction rénale, entraînait des hypotensions orthostatiques (chute de tension). Ainsi, la pathologie rénale impactait de façon significative sa capacité de travail, en plus des arthralgies diffuses.</w:t>
      </w:r>
    </w:p>
    <w:p>
      <w:r>
        <w:rPr>
          <w:b/>
        </w:rPr>
        <w:t>E. 15</w:t>
      </w:r>
    </w:p>
    <w:p>
      <w:r>
        <w:t>Par avis du 22 mars 2018, le SMR a noté que le rapport précité confirmait la stabilité de la situation médicale, de sorte que les conclusions de son avis du 10 mars 2016 étaient maintenues.</w:t>
      </w:r>
    </w:p>
    <w:p>
      <w:r>
        <w:rPr>
          <w:b/>
        </w:rPr>
        <w:t>E. 16</w:t>
      </w:r>
    </w:p>
    <w:p>
      <w:r>
        <w:t>Par décision du 6 avril 2018, l’OAI a octroyé à l’assuré un quart de rente, fondé sur un degré d’invalidité de 46 %, dès le 1er février 2016, en application de la méthode extraordinaire d’évaluation. Il a mis en évidence que l’assuré mettait pleinement en valeur sa capacité de gain résiduelle dans son domaine d’activité habituel. Aucun</w:t>
      </w:r>
    </w:p>
    <w:p>
      <w:r>
        <w:t>A/1532/2018 - 7/13 - abattement n’était opéré, dès lors que le revenu avec invalidité concernait des activités effectivement exercées par l’assuré.</w:t>
      </w:r>
    </w:p>
    <w:p>
      <w:r>
        <w:rPr>
          <w:b/>
        </w:rPr>
        <w:t>E. 17</w:t>
      </w:r>
    </w:p>
    <w:p>
      <w:r>
        <w:t>Par acte du 8 mai 2018, l’assuré, par l’entremise de son conseil, a formé recours contre cette décision en concluant, sous suite de dépens, à son annulation et à l’octroi d’une demi-rente d’invalidité dès le 1er février 2016. Il a repris les arguments développés dans les écritures antérieures et fait valoir que l’intimé avait retenu un abattement de 10 % en raison des limitations fonctionnelles et de l’âge, mais qu’il ne l’avait toutefois pas appliqué. Or, sa capacité de travail de 50 %, son âge et ses limitations fonctionnelles, retenues par les médecins traitants, justifiaient un taux d’abattement de 20 % sur le revenu d’invalide statistique même dans le cas d’un indépendant, puisque le revenu sans invalidité était évalué sur la base des salaires statistiques, et que ses perspectives salariales étaient moins élevées que pour un employé en bonne santé.</w:t>
      </w:r>
    </w:p>
    <w:p>
      <w:r>
        <w:rPr>
          <w:b/>
        </w:rPr>
        <w:t>E. 18</w:t>
      </w:r>
    </w:p>
    <w:p>
      <w:r>
        <w:t>Par décision du 9 mai 2018, l’intimé déterminé le montant des quarts de rente dus au recourant pour la période du 1er février 2016 au 31 mars 2018.</w:t>
      </w:r>
    </w:p>
    <w:p>
      <w:r>
        <w:rPr>
          <w:b/>
        </w:rPr>
        <w:t>E. 19</w:t>
      </w:r>
    </w:p>
    <w:p>
      <w:r>
        <w:t>Dans sa réponse du 4 juin 2018, l’intimé a conclu au rejet du recours. Il a d’abord relevé que la méthode extraordinaire d’évaluation n’était pas contestée par le recourant. Il a ensuite répété qu’il n’y avait pas lieu de procéder à un abattement, car le revenu avec invalidité était déterminé eu égard aux activités effectivement exercées par le recourant. Il ne s’agissait pas d’évaluer ce revenu dans une activité adaptée.</w:t>
      </w:r>
    </w:p>
    <w:p>
      <w:r>
        <w:rPr>
          <w:b/>
        </w:rPr>
        <w:t>E. 20</w:t>
      </w:r>
    </w:p>
    <w:p>
      <w:r>
        <w:t>Par acte du 12 juin 2018, le recourant a formé également recours contre la décision du 9 mai 2018, en concluant, sous suite de dépens, à la jonction de ses deux recours et à l’octroi d’une demi-rente d’invalidité dès le 1er février 2016.</w:t>
      </w:r>
    </w:p>
    <w:p>
      <w:r>
        <w:rPr>
          <w:b/>
        </w:rPr>
        <w:t>E. 21</w:t>
      </w:r>
    </w:p>
    <w:p>
      <w:r>
        <w:t>Par ordonnance du 18 juin 2018, la chambre de céans a ordonné la jonction des recours.</w:t>
      </w:r>
    </w:p>
    <w:p>
      <w:r>
        <w:rPr>
          <w:b/>
        </w:rPr>
        <w:t>E. 22</w:t>
      </w:r>
    </w:p>
    <w:p>
      <w:r>
        <w:t>Sur ce, la cause a été gardée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Interjetés dans les formes et délais légaux, les recours sont recevables (art. 56 ss LPGA; art. 89B de la loi sur la procédure administrative du 12 septembre 1985 LPA - E 5 10).</w:t>
      </w:r>
    </w:p>
    <w:p>
      <w:r>
        <w:t>A/1532/2018 - 8/13 - 3. L’objet du litige porte sur le droit du recourant à une demi-rente d’invalidité dès le 1er février 2016.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A/1532/2018 - 9/13 -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il ressort des pièces médicales figurant au dossier que le recourant présente une insuffisance rénale chronique de stade III sur une dysplasie rénale ; une arthrose des deux chevilles ; une lombarthrose ainsi qu’une obésité (108 - 110 kg). L’importance de l’insuffisance rénale engendre un rendement diminué, notamment en raison d’une fatigabilité plus importante. La capacité de travail dans l’activité habituelle est évaluée à 50 %. Dans son avis du 10 mars 2016, le SMR fait sienne l’appréciation des médecins traitants de la capacité de travail du recourant dans son activité habituelle, spécifiant que le taux retenu est médicalement justifié vu l’obésité et l’insuffisance rénale sur dysplasie rénale de stade III. Cette appréciation n'est au demeurant pas contestée par le recourant. Quant à la question de la capacité de travail dans une activité adaptée, elle peut en l’état rester ouverte, dès lors que la perte de gain sera évaluée selon la méthode extraordinaire d’évaluation, comme exposé ci-après. 9. a. Pour évaluer le taux d'invalidité, le revenu que l'assuré aurait pu obtenir s'il n'était pas invalide est en principe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w:t>
      </w:r>
    </w:p>
    <w:p>
      <w:r>
        <w:t>A/1532/2018 - 10/13 -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À noter que les associés gérants de Sàrl, salariés de leur propre entreprise, peuvent être assimilés à des indépendants dans le cadre de l’application de la méthode extraordinaire (cf. par ex. arrêt du Tribunal fédéral 9C_472/2009 du 28 juillet 2010 consid. 4). La méthode extraordinaire implique qu’il soit procédé à une pondération des activités exercées par l'indépendant en appliquant à chacune le salaire de référence usuel dans la branche. On peut ainsi déterminer le revenu d'une personne non invalide et le revenu d'invalide et effectuer une comparaison des revenus (Circulaire de l'office fédéral des assurances sociales concernant l'invalidité et l'impotence de l'assurance-invalidité [CIIAI], état au 1er janvier 2018, ch. 3105). c. 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w:t>
      </w:r>
    </w:p>
    <w:p>
      <w:r>
        <w:t>A/1532/2018 - 11/13 - 10. a. En l’espèce, le recourant admet l'application de la méthode extraordinaire d'évaluation de l'invalidité, ainsi que l'étendue de l'empêchement entraîné par ses atteintes à la santé dans chacun des deux champs d'activité (fixée par l’intimé à 0% pour les travaux de direction/administration et à 50% pour les travaux d’installateur sanitaire) depuis le 1er février 2015, date du début du délai d’attente d’un an. L'application de la méthode extraordinaire d'évaluation de l'invalidité est au demeurant justifié du fait que les documents comptables de l’entreprise ne constituent pas une base fiable pour évaluer la perte de gain du recourant, les résultats comptables ayant été influencés par des facteurs étrangers à l’invalidité, tels que les frais de sous-traitance (qui étaient aléatoires en fonction des chantiers et du délai à respecter), la négociation des prix d’achat de la marchandise (ce qui avait un impact sur le bénéfice d’exploitation) et une baisse de la masse salariale. Ainsi, on observe qu’en 2015, année de la survenance de l’atteinte à la santé entraînant une diminution de la capacité de travail médicalement attestée de 50 %, la société a présenté un bénéfice net de CHF 30'692.-, supérieur à celui dégagé les années précédentes (soit CHF 30'027.- en 2014 et CHF 0.- de 2010 à 2013 [vu les pertes d’exploitation durant ces années-ci]). Par ailleurs, les résultats d’exploitation dépendent également du chiffre d’affaires réalisé par le frère, associé gérant président, lequel aide de surcroît le recourant dans le transport de matériels lourds ainsi que pour la pose des baignoires. Les comptes d'exploitation ne permettent donc pas de distinguer la part du revenu qui résulte exclusivement de la prestation personnelle de travail du recourant de celle qu’il faut attribuer à des facteurs étrangers. b. Reste à examiner l'incidence de l'empêchement de 50% dans le champ d’activité « installateur sanitaire » sur la capacité de gain du recourant, selon la formule applicable dans la méthode extraordinaire d'évaluation de l'invalidité. En ce qui concerne les éléments de la formule d'évaluation dans le cas d'espèce, T1 (temps consacré à la direction/administration) est égal à 9 % et T2 (temps consacré à l’activité d’installateur sanitaire) à 91 %. B1 est égal à 0 et B2 à 50 %. Quant aux revenus à prendre en considération (s1 et s2), le recourant ne contestant pas les chiffres retenus par l’intimé, il y a lieu de reprendre les revenus des mêmes branches économiques dans l’ESS 2014 et les mêmes niveaux de compétence, à savoir un revenu mensuel de (s1) CHF 5’179.- (ESS 2014, TA1_tirage_skill_level, ligne n°82, activité de service administratif, niveau 2 pour un homme), c’est-à-dire CHF 5'399.- après adaptation à la durée usuelle du travail de 41,7 en 2014 (cf. tableau « Durée normale du travail dans les entreprises selon la division économique » de l’office fédéral de la statistique ; soit 5'179 × 41,7 : 40 = 5'399.1075) et CHF 5'414.-, après adaptation de ce dernier montant à l’évolution des salaires en 2015 selon l’indice suisse des salaires nominaux pour les hommes (ISS en 2014 : 2’220 et ISS en 2015 : 2'226 ; soit 5'399 × 2'226/ 2'220 = 5'413.59).</w:t>
      </w:r>
    </w:p>
    <w:p>
      <w:r>
        <w:t>A/1532/2018 - 12/13 - S’agissant de l’activité « installateur sanitaire », on se basera sur le montant de (s2) CHF 5’885.- (ESS 2014, TA1_tirage_skill_level, ligne n° 43, référence n° 432202 « installation d’équipements sanitaires et ferblanterie » NOGA 2008, niveau 2 pour un homme), c’est-à-dire CHF 6'135.- après adaptation à la durée usuelle du travail de 41,7 en 2014 (5’885 × 41,7/ 40 = 6'135.1125) et CHF 6'152.-, après adaptation de ce dernier montant à l’évolution des salaires en 2015 (6'135 × 2'226 : 2'220 = 6'151.5810). Il n'y a toutefois pas lieu de procéder à un abattement sur ces revenus. La réduction du salaire statistique dans le cadre de la détermination du revenu hypothétique d'invalide prévue par la jurisprudence (ATF 126 V 75)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(ATF 126 V 75 consid. 5b/aa). Dans le cadre de la méthode extraordinaire d'évaluation de l'invalidité, la notion même de revenu d'invalide (dans le sens d’une comparaison des revenus sans et avec invalidité) et, partant, celle d'abattement, n'ont pas leur place (arrêt du Tribunal fédéral 9C_731/2007 du 20 août 2008 consid. 5.2). Compte tenu des valeurs déterminées ci-avant, le taux d'invalidité du recourant se calcule de la manière suivante: (9 x 0 x 5'414) + (91 x 50 x 6'152) 0 + 27'991'600 27'991’600 ----------------------------------------- = ------------------------ = ----------------- = 45,99% (9 x 5'414) + (91 x 6'152)</w:t>
      </w:r>
    </w:p>
    <w:p>
      <w:r>
        <w:t>48'726 + 559'832 608’558 Ce taux d'invalidité, arrondi au pourcent supérieur (cf. ATF 130 V 122), c’est-à- dire à 46%, donne droit à un quart de rente à l’échéance du délai d’attente d’un an (art. 28 al. 1 let. b et c LAI), soit dès le 1er février 2016. 11. Mal fondés, les recours doivent par conséquent être rejetés. 12. Attendu que, depuis le 1er juillet 2006, la procédure n'est plus gratuite (art. 69 al. 1bis LAI), il y a lieu de condamner le recourant, qui succombe, au paiement d'un émolument de CHF 200.-.</w:t>
      </w:r>
    </w:p>
    <w:p>
      <w:r>
        <w:t>A/1532/2018 - 13/13 -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