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ATAS/851/2024 vom 4. November 2024</w:t>
      </w:r>
    </w:p>
    <w:p>
      <w:r>
        <w:t>GE Cour de justice, 2024-11-04, FR</w:t>
      </w:r>
    </w:p>
    <w:p>
      <w:r>
        <w:rPr>
          <w:b/>
        </w:rPr>
        <w:t xml:space="preserve">Quelle: </w:t>
      </w:r>
      <w:r>
        <w:t>https://mcp.opencaselaw.ch/entscheid/ge_gerichte_ATAS_851_2024</w:t>
      </w:r>
    </w:p>
    <w:p>
      <w:r>
        <w:t>FR: GE_GERICHTE ATAS/851/2024 du 4 novembre 2024</w:t>
      </w:r>
    </w:p>
    <w:p>
      <w:r>
        <w:t>IT: GE_GERICHTE ATAS/851/2024 del 4 novembre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matérielle pour juger du cas d’espèce est ainsi établie.</w:t>
      </w:r>
    </w:p>
    <w:p>
      <w:r>
        <w:rPr>
          <w:b/>
        </w:rPr>
        <w:t>E. 1.2</w:t>
      </w:r>
    </w:p>
    <w:p>
      <w:r>
        <w:t>À teneur de l'art. 58 al. 1 LPGA, le tribunal des assurances compétent est celui du canton de domicile de l'assuré ou d'une autre partie au moment du dépôt du recours. Selon l’art. 58 al. 2 LPGA, si l’assuré ou une autre partie sont domiciliés</w:t>
      </w:r>
    </w:p>
    <w:p>
      <w:r>
        <w:t>A/4161/2023 - 18/35 -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La compétence ratione loci de la chambre de céans est également donnée, compte tenu du siège à Carouge de l'entreprise B______, dernier employeur du recourant domicilié en France.</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2017 est entrée en vigueur la modification du 25 septembre 2015 de la LAA. L’accident étant survenu avant le 1er janvier 2017,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litige porte sur la question de savoir si l'intimée était fondée à mettre un terme au paiement des frais de traitement au 3 juin 2018 et à celui des indemnités journalières au 31 mars 2015, et à nier le droit du recourant à une rente d'invalidité et à une indemnité pour atteinte à l'intégrité corporelle.</w:t>
      </w:r>
    </w:p>
    <w:p>
      <w:r>
        <w:rPr>
          <w:b/>
        </w:rPr>
        <w:t>E. 4</w:t>
      </w:r>
    </w:p>
    <w:p>
      <w:r>
        <w:t>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4.1</w:t>
      </w:r>
    </w:p>
    <w:p>
      <w:r>
        <w:t>Avec répercussion sur la capacité de travail</w:t>
      </w:r>
    </w:p>
    <w:p>
      <w:r>
        <w:rPr>
          <w:b/>
        </w:rPr>
        <w:t>E. 4.1.1</w:t>
      </w:r>
    </w:p>
    <w:p>
      <w:r>
        <w:t>Dates d'apparition</w:t>
      </w:r>
    </w:p>
    <w:p>
      <w:r>
        <w:rPr>
          <w:b/>
        </w:rPr>
        <w:t>E. 4.1.2</w:t>
      </w:r>
    </w:p>
    <w:p>
      <w:r>
        <w:t>Les notions de syndrome douloureux régional complexe (CRPS pour Complex regional pain syndrome), algodystrophie ou maladie de Suedeck</w:t>
      </w:r>
    </w:p>
    <w:p>
      <w:r>
        <w:t>A/4161/2023 - 20/35 -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un état après infarctus du myocarde, après apoplexie, après ou lors de l’ingestion de barbituriques, lors de tumeurs, de grossesses ; etc.) et c) une courte période de latence entre l'accident et l'apparition de l'algodystrophie, soit au maximum six à huit semaines (arrêts du Tribunal fédéral 8C_416/2019 du 15 juillet 2020 consid. 5.2.1 ; 8C_871/2010 du 4 octobre 2011 consid. 3.2 et 8C_384/2009 du 5 janvier 2010 consid. 4.2.1 in SVR 2010 UV n° 18 p. 69).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CRPS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sudomoteurs/oedème, moteurs/trophiques (arrêts du Tribunal fédéral 8C_234/2023 du 12 décembre 2023 consid. 3.2 ; 8C_416/2019 du 15 juillet 2020 consid. 5.1). Lorsqu'il s'agit d'écarter le diagnostic, le médecin ou l'expert médical doit le faire après avoir analysé les critères de Budapest (arrêt du Tribunal fédéral 8C_863/2018 du 10 mars 2020 consid. 4.4 cité dans : David IONTA, Le syndrome douloureux régional complexe (SDRC) et causalité en LAA, in Jusletter du 18 octobre 2021, p. 10).</w:t>
      </w:r>
    </w:p>
    <w:p>
      <w:r>
        <w:t>A/4161/2023 - 21/35 -</w:t>
      </w:r>
    </w:p>
    <w:p>
      <w:r>
        <w:rPr>
          <w:b/>
        </w:rPr>
        <w:t>E. 4.1.3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4.2</w:t>
      </w:r>
    </w:p>
    <w:p>
      <w:r>
        <w:t>Sans répercussion sur la capacité de travail</w:t>
      </w:r>
    </w:p>
    <w:p>
      <w:r>
        <w:rPr>
          <w:b/>
        </w:rPr>
        <w:t>E. 4.2.1</w:t>
      </w:r>
    </w:p>
    <w:p>
      <w:r>
        <w:t>Dates d'apparition</w:t>
      </w:r>
    </w:p>
    <w:p>
      <w:r>
        <w:rPr>
          <w:b/>
        </w:rPr>
        <w:t>E. 4.3</w:t>
      </w:r>
    </w:p>
    <w:p>
      <w:r>
        <w:t>L’état de santé de la personne expertisée est-il stabilisé ?</w:t>
      </w:r>
    </w:p>
    <w:p>
      <w:r>
        <w:rPr>
          <w:b/>
        </w:rPr>
        <w:t>E. 4.3.1</w:t>
      </w:r>
    </w:p>
    <w:p>
      <w:r>
        <w:t>Si oui, depuis quelle date ?</w:t>
      </w:r>
    </w:p>
    <w:p>
      <w:r>
        <w:t>A/4161/2023 - 32/35 -</w:t>
      </w:r>
    </w:p>
    <w:p>
      <w:r>
        <w:rPr>
          <w:b/>
        </w:rPr>
        <w:t>E. 4.4</w:t>
      </w:r>
    </w:p>
    <w:p>
      <w:r>
        <w:t>Les atteintes et les plaintes de la personne expertisée correspondent- elles à un substrat organique objectivable ?</w:t>
      </w:r>
    </w:p>
    <w:p>
      <w:r>
        <w:rPr>
          <w:b/>
        </w:rPr>
        <w:t>E. 4.5</w:t>
      </w:r>
    </w:p>
    <w:p>
      <w:r>
        <w:t>Sur la base des éléments du dossier et de l'examen clinique, le diagnostic de CRPS du membre supérieur gauche peut-il être retenu ?</w:t>
      </w:r>
    </w:p>
    <w:p>
      <w:r>
        <w:t>Veuillez procéder à une analyse complète, notamment au regard des critères diagnostiques de Budapest. 5. Causalité</w:t>
      </w:r>
    </w:p>
    <w:p>
      <w:r>
        <w:rPr>
          <w:b/>
        </w:rPr>
        <w:t>E. 5</w:t>
      </w:r>
    </w:p>
    <w:p>
      <w:r>
        <w:t>En l'espèce, l'intimée a mis un terme au paiement des frais de traitement au 3 juin 2018 et à celui des indemnités journalières au 31 mars 2015, et a considéré que le recourant n’avait pas droit à une rente d'invalidité et à une indemnité pour atteinte à l'intégrité corporelle, en renonçant toutefois à demander la restitution de ladite indemnité versée le 28 avril 2015.</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5.3</w:t>
      </w:r>
    </w:p>
    <w:p>
      <w:r>
        <w:t>S'agissant du CRPS, si un tel diagnostic est retenu, est-il la conséquence de l'accident du 13 avril 2011 ?</w:t>
      </w:r>
    </w:p>
    <w:p>
      <w:r>
        <w:t>Veuillez notamment indiquer si les critères suivants sont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[veuillez prendre en compte l'adénome hypophysaire dont souffre la personne expertisée] ; c) une courte période de latence entre l'accident et l'apparition de l'algodystrophie, soit au maximum six à huit semaines.</w:t>
      </w:r>
    </w:p>
    <w:p>
      <w:r>
        <w:t>A/4161/2023 - 33/35 - 6. Limitations fonctionnelles 6.1. Indiquer les limitations fonctionnelles en relation avec chaque diagnostic 6.1.1 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7.2.1 Veuillez indiquer / décrire les types d'activités adaptées. 7.2.2 Si cette capacité de travail est seulement partielle, quelles sont les limitations fonctionnelles qui entrent en ligne de compte ? Depuis quelle date sont-elles présentes ? 7.2.3 La personne expertisée subit-elle une diminution de rendement dans l'exercice de son activité habituelle ? Si oui, pour quelle raison et quel est le pourcentage de cette diminution de rendement ? 7.2.4 La personne expertisée subit-elle une diminution de rendement dans l'exercice d'une activité adaptée à ses limitations fonctionnelles ? Si oui, pour quelle raison et quel est le pourcentage de cette diminution de rendement ?</w:t>
      </w:r>
    </w:p>
    <w:p>
      <w:r>
        <w:rPr>
          <w:b/>
        </w:rPr>
        <w:t>E. 5.4</w:t>
      </w:r>
    </w:p>
    <w:p>
      <w:r>
        <w:t>Eu égard à tout ce qui précède, il se justifie de mettre en œuvre une expertise judiciaire bidisciplinaire, comportant des volets orthopédique et neurologique. Celle-ci sera confiée au Prof. AD______ pour le volet orthopédique et traumatologique, et au Dr HENNY pour le volet neurologique.</w:t>
      </w:r>
    </w:p>
    <w:p>
      <w:r>
        <w:rPr>
          <w:b/>
        </w:rPr>
        <w:t>E. 5.5</w:t>
      </w:r>
    </w:p>
    <w:p>
      <w:r>
        <w:t>L’intimée a demandé la récusation du Prof. AD______ au motif qu’il avait dirigé le service de chirurgie orthopédique durant les années pendant lesquelles le recourant y avait été traité.</w:t>
      </w:r>
    </w:p>
    <w:p>
      <w:r>
        <w:rPr>
          <w:b/>
        </w:rPr>
        <w:t>E. 5.5.1</w:t>
      </w:r>
    </w:p>
    <w:p>
      <w:r>
        <w:t>Les objections à l'encontre de l'expert peuvent être de nature formelle ou matérielle ; les motifs de récusation formels sont ceux prévus par la loi (art. 10 al. 1 de loi fédérale sur la procédure administrative du 20 décembre 1968 [PA - RS 172.021] et 36 al. 1 LPGA) ; d'autres motifs, tels que le manque de</w:t>
      </w:r>
    </w:p>
    <w:p>
      <w:r>
        <w:t>A/4161/2023 - 29/35 - compétence dans le domaine médical retenu ou encore un manque d'adéquation personnelle de l'expert, sont de nature matérielle (ATF 132 V 93 consid. 6.5 ; arrêts du Tribunal fédéral 8C_452/2020 du 7 octobre 2021 et 9C_180/2013 du 31 décembre 2013 consid. 2.3 ; Jacques Olivier PIGUET, in Commentaire romand de la LPGA, 2018, n° 24 ad art. 44 LPGA). Les motifs matériels doivent être examinés avec la décision sur le fond, dans le cadre de l’appréciation des preuves (ATF 132 V 93 ; arrêt du Tribunal fédéral 8C_146/2016 du 9 août 2016). S'agissant des motifs de récusation formels d'un expert, il y a lieu, selon la jurisprudence, d'appliquer les mêmes principes que pour la récusation d'un juge (ATF 137 V 210 consid. 2.1.3 ; 132 V 93 consid. 7.1 ; 120 V 357 consid. 3a) et qui découlent directement du droit constitutionnel à un tribunal indépendant et impartial garanti par l'art. 30 al. 1 de la Constitution fédérale de la Confédération suisse du 18 avril 1999 (Cst - RS 101) - qui en la matière a la même portée que l'art. 6 par. 1 de la Convention de sauvegarde des droits de l’homme et des libertés fondamentales du 4 novembre 1950 (CEDH - RS 0.101 ; ATF 134 I 20 consid. 4.2) - respectivement, pour un expert, des garanties générales de procédure de l'art. 29 al. 1 Cst., qui assure à cet égard une protection équivalente à celle de l'art. 30 al. 1 Cst. (arrêt du Tribunal fédéral 5A_484/2015 du 2 octobre 2015 consid. 2.3.2 et les références ; arrêt du Tribunal fédéral 8C_452/2020 du 7 octobre 2021).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128 V 82 consid. 2a ; arrêt du Tribunal fédéral 8C_452/2020 du 7 octobre 2021). Selon la jurisprudence,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et les références ; arrêt du Tribunal fédéral 8C_514/2021 du 27 avril 2022 ; 9C_343/2020 du 22 avril 2021 consid. 4.3). L'appartenance à un même centre d'expertise pluridisciplinaire, qui n'implique normalement pas une présence régulière dans les mêmes locaux, n'est pas de nature à favoriser des liens plus étroits que ceux pouvant exister entre des spécialistes qui se croisent à l'occasion hors de leur lieu de travail habituel (arrêt</w:t>
      </w:r>
    </w:p>
    <w:p>
      <w:r>
        <w:t>A/4161/2023 - 30/35 - du Tribunal fédéral 8C_1058/2010 du 1er juin 2011). En revanche, il en va différemment de deux médecins qui travaillent tous les jours dans les mêmes locaux au sein d'un petit cabinet de groupe dont ils partagent les frais. De tels contacts quotidiens doublés d'une communauté d'intérêts économiques constituent des éléments objectifs suffisants, au vu des exigences élevées posées à l'impartialité des experts médicaux, pour faire naître à tout le moins une apparence de prévention lorsque l'un des associés est désigné comme expert par un assureur accidents alors que son associé a déjà émis un avis médical sur le cas en tant que médecin-conseil dudit assureur (arrêt du Tribunal fédéral 8C_112/2010 du 17 août 2010).</w:t>
      </w:r>
    </w:p>
    <w:p>
      <w:r>
        <w:rPr>
          <w:b/>
        </w:rPr>
        <w:t>E. 5.5.2</w:t>
      </w:r>
    </w:p>
    <w:p>
      <w:r>
        <w:t>En l’occurrence, en relevant que le Prof. AD______ avait dirigé le service des HUG durant les années pendant lesquelles le recourant y avait été traité, l’intimée soulève un motif formel de récusation. Ce seul élément n’est pas comparable avec la situation de l’expert, dont l’apparence de prévention a été admise car il partageait, au quotidien, les locaux et les frais d’un petit cabinet avec le médecin conseil de l’assurance qui l’avait mandaté et qui avait rédigé un avis médical sur le cas. Il ne saurait donc fonder la présence d’une apparence de prévention du Prof. AD______, ce d’autant qu’il n’a pas œuvré comme médecin traitant du recourant. Partant, la demande de récusation sera, préalablement, rejetée.</w:t>
      </w:r>
    </w:p>
    <w:p>
      <w:r>
        <w:rPr>
          <w:b/>
        </w:rPr>
        <w:t>E. 5.6</w:t>
      </w:r>
    </w:p>
    <w:p>
      <w:r>
        <w:t>L’intimée conteste les questions 11.1, 11.2 et 11.5 posées à l’expert orthopédiste. Celles-ci seront maintenues, dès lors qu’elles permettent d’obtenir des informations sur l’état de santé du recourant, utiles dans le cadre d’une éventuelle discussion du lien de causalité adéquate entre l’accident et des troubles psychiques. S’agissant des remarques du recourant, la chambre de céans considère que l’apport du dossier de l’OAI ne se justifie pas, dès lors que l’intégralité du dossier de l’intimée, qui contient les pièces sur lesquelles s’est fondé l’OAI pour rendre sa décision de rente du 12 janvier 2017, sera remise aux experts. Elle relève ensuite que la mission invite les experts à se déterminer sur l'avis du Dr X______, notamment sur les diagnostics posés, de sorte que ceux-ci se prononceront sur le syndrome douloureux somatoforme évoqué par ce médecin. Il ne sera donc pas donné suite à la demande d’ajout d’une question spécifique à cet égard, étant encore relevé que l'existence de troubles somatoformes douloureux persistants suppose d'abord la présence d'un diagnostic émanant d'un expert psychiatre. L’appréciation consensuelle du cas s'agissant de toutes les problématiques ayant des interférences entre elles, dont la capacité de travail, a été prévue dans la mission. Enfin, une question portant sur le rendement dans l’activité habituelle sera ajoutée au point 7, conformément à la demande du recourant.</w:t>
      </w:r>
    </w:p>
    <w:p>
      <w:r>
        <w:t>A/4161/2023 - 31/35 - PAR CES MOTIFS, LA CHAMBRE DES ASSURANCES SOCIALES : Statuant préparatoirement I. Rejette la demande de récusation de l’intimée. II. Ordonne une expertise médicale bidisciplinaire de Monsieur A______. La confie au docteur AC______, spécialiste FMH en neurologie, et au professeur AD______, spécialiste FMH en chirurgie orthopédique et traumatologique de l'appareil locomoteur,. III. Dit que la mission d’expertise sera la suivante : A. Prendre connaissance du dossier de la cause. B. Si nécessaire prendre tous renseignements auprès des médecins ayant traité la personne expertisée, notamment le docteur F______ (spécialiste FMH en chirurgie orthopédique), le docteur K______ (spécialiste FMH en médecine physique et réadaptation), le docteur L______ (spécialiste FMH en neurologie), la docteure I______ (spécialiste FMH en médecine physique et de réadaptation orthopédique), la docteure P______ (neurologue), le docteur N______ (spécialiste FMH en médecine physique et de réadaptation orthopédique), et le docteur V______ (spécialiste FMH en endocrinologie). C. Examiner la personne expertisée et, si nécessaire, ordonner d'autres examens.</w:t>
      </w:r>
    </w:p>
    <w:p>
      <w:r>
        <w:t>Se prononcer notamment sur la nécessité de pratiquer un examen de la mobilité de l'épaule gauche sous anesthésie générale et, cas échéant, l'ordonner avec l'accord préalable de la personne expertisée. D. Charge les experts d'établir un rapport comprenant les éléments et les réponses aux questions suivants : 1. Anamnèse détaillée 2. Plaintes de la personne expertisée 3. Status et constatations objectives 4. Diagnostics</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t>A/4161/2023 - 34/35 -</w:t>
      </w:r>
    </w:p>
    <w:p>
      <w:r>
        <w:rPr>
          <w:b/>
        </w:rPr>
        <w:t>E. 8.5</w:t>
      </w:r>
    </w:p>
    <w:p>
      <w:r>
        <w:t>Un traitement médical est-il nécessaire pour le maintien de l'état de santé actuel ? Le cas échéant, lequel ?</w:t>
      </w:r>
    </w:p>
    <w:p>
      <w:r>
        <w:rPr>
          <w:b/>
        </w:rPr>
        <w:t>E. 8.6</w:t>
      </w:r>
    </w:p>
    <w:p>
      <w:r>
        <w:t>Quel est le pronostic ? Le cas échéant, quels sont les risques d'aggravation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pour chaque atteinte et globalement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rPr>
          <w:b/>
        </w:rPr>
        <w:t>E. 10.1</w:t>
      </w:r>
    </w:p>
    <w:p>
      <w:r>
        <w:t>Êtes-vous d'accord avec l'avis du Dr X______ (expertise orthopédique) / du Dr W______ (expertise neurologique) ? En particulier avec les diagnostics posés et l'estimation d'une capacité entière de travail dans une activité adaptée de la personne expertisée au regard des séquelles de l'accident du 13 avril 2011 ? Veuillez motiver votre réponse.</w:t>
      </w:r>
    </w:p>
    <w:p>
      <w:r>
        <w:rPr>
          <w:b/>
        </w:rPr>
        <w:t>E. 11</w:t>
      </w:r>
    </w:p>
    <w:p>
      <w:r>
        <w:t>Autres facteurs Suite à l’accident du 13 avril 2011 :</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w:t>
      </w:r>
    </w:p>
    <w:p>
      <w:r>
        <w:t>A/4161/2023 - 35/35 -</w:t>
      </w:r>
    </w:p>
    <w:p>
      <w:r>
        <w:rPr>
          <w:b/>
        </w:rPr>
        <w:t>E. 13</w:t>
      </w:r>
    </w:p>
    <w:p>
      <w:r>
        <w:t>Des mesures de réadaptation professionnelle sont-elles envisageables ?</w:t>
      </w:r>
    </w:p>
    <w:p>
      <w:r>
        <w:rPr>
          <w:b/>
        </w:rPr>
        <w:t>E. 14</w:t>
      </w:r>
    </w:p>
    <w:p>
      <w:r>
        <w:t>Faire toutes autres observations ou suggestions utiles. IV. Invite les experts à faire une appréciation consensuelle du cas s'agissant de toutes problématiques ayant des interférences entre elles, notamment les diagnostics et l'appréciation de la capacité de travail. V. Invite les experts à déposer leur rapport en trois exemplaires dans les meilleurs délais auprès de la chambre de céans. VI. Réserve le fond ainsi que le sort des frais jusqu’à droit jugé au fond. VII.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