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ATAS/851/2016 vom 24. Juli 2013</w:t>
      </w:r>
    </w:p>
    <w:p>
      <w:r>
        <w:t>GE Cour de justice, 2013-07-24, FR</w:t>
      </w:r>
    </w:p>
    <w:p>
      <w:r>
        <w:rPr>
          <w:b/>
        </w:rPr>
        <w:t xml:space="preserve">Quelle: </w:t>
      </w:r>
      <w:r>
        <w:t>https://mcp.opencaselaw.ch/entscheid/ge_gerichte_ATAS_851_2016</w:t>
      </w:r>
    </w:p>
    <w:p>
      <w:r>
        <w:t>FR: GE_GERICHTE ATAS/851/2016 du 24 juillet 2013</w:t>
      </w:r>
    </w:p>
    <w:p>
      <w:r>
        <w:t>IT: GE_GERICHTE ATAS/851/2016 del 24 luglio 2013</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prévus par la loi, le recours est prima facie recevable (art. 56 et 60 de la loi fédérale sur la partie générale du droit des assurances sociales du 6 octobre 2000 [LPGA - RS 830.1]; art. 89B de la loi sur la procédure administrative du 12 septembre 1985 [LPA-GE - E 5 10]).</w:t>
      </w:r>
    </w:p>
    <w:p>
      <w:r>
        <w:rPr>
          <w:b/>
        </w:rPr>
        <w:t>E. 3</w:t>
      </w:r>
    </w:p>
    <w:p>
      <w:r>
        <w:t>La chambre de céans doit se prononcer sur le bien-fondé de la décision incidente sur opposition de la caisse rejetant la requête de l'intéressé tendant au rétablissement de l’effet suspensif.</w:t>
      </w:r>
    </w:p>
    <w:p>
      <w:r>
        <w:rPr>
          <w:b/>
        </w:rPr>
        <w:t>E. 4</w:t>
      </w:r>
    </w:p>
    <w:p>
      <w:r>
        <w:t>Selon l'art. 54 al. 1 let. c LPGA les décisions et les décisions sur opposition sont exécutoires lorsque l'effet suspensif attribué à une opposition ou à un recours a été retiré. Selon l'art. 97 LAVS relatif au retrait de l'effet suspensif pour les recours formés contre les décisions des caisses de compensation, celles-ci peuvent, dans leurs décisions, prévoir qu'un recours éventuel n'aura pas d'effet suspensif, même si la décision porte sur une prestation pécuniaire, l'art. 55 al. 2 à 4 PA étant pour le surplus applicable.</w:t>
      </w:r>
    </w:p>
    <w:p>
      <w:r>
        <w:rPr>
          <w:b/>
        </w:rPr>
        <w:t>E. 5</w:t>
      </w:r>
    </w:p>
    <w:p>
      <w:r>
        <w:t>L'art. 55 al. 3 PA prévoit que l'autorité de recours ou son président peut restituer l'effet suspensif à un recours auquel l'autorité inférieure l'avait retiré; la demande de restitution de l'effet suspensif est traitée sans délai.</w:t>
      </w:r>
    </w:p>
    <w:p>
      <w:r>
        <w:t>A/3306/2016 - 5/7 -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intéressée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intéressée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intéressée;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w:t>
      </w:r>
    </w:p>
    <w:p>
      <w:r>
        <w:rPr>
          <w:b/>
        </w:rPr>
        <w:t>E. 6</w:t>
      </w:r>
    </w:p>
    <w:p>
      <w:r>
        <w:t>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intéressé si la compensation porte atteinte au minimum vital de celui-ci (ATF 131 V 252 consid. 1.2, 115 V 343 consid. 2c). En effet, ne peuvent être éteintes par compensation les créances dont la nature spéciale exige le paiement effectif entre les mains du créancier, telles que des aliments ou le salaire absolument nécessaires à l'entretien du débiteur et de sa famille (ATF 108 V 47 consid. 2). Pour le calcul du minimum vital de l'intéressé, il y a lieu d'appliquer les règles du droit des poursuites (ATF 131 V 252 consid. 1.2). Ces règles sont aussi valables en cas de comportement fautif de la personne tenue à restituer les prestations (ATF 131 V 249 consid. 3).</w:t>
      </w:r>
    </w:p>
    <w:p>
      <w:r>
        <w:t>A/3306/2016 - 6/7 - Pour fixer le montant saisissable au sens de l'art. 93 LP relatif à la saisie des rentes notamment,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(NI-2014;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w:t>
      </w:r>
    </w:p>
    <w:p>
      <w:r>
        <w:rPr>
          <w:b/>
        </w:rPr>
        <w:t>E. 7</w:t>
      </w:r>
    </w:p>
    <w:p>
      <w:r>
        <w:t>En l’espèce, au vu de l'arrêt récent rendu le 2 mai 2016 par la chambre de céans, qui retenait que le minimum vital du recourant ne serait pas entamé par la compensation de sa rente AVS, il n'y a pas lieu d'admettre que, selon toute vraisemblance, celui-ci l'emportera dans la cause principale. Il est en outre établi qu'il possède en tous les cas CHF 95'748.26. Ainsi, la compensation du montant de sa rente AVS ne le mettra pas dans une situation ne lui permettant pas de subvenir à son minimum vital, et cela même s'il utilise une partie de sa fortune pour des frais judiciaires, comme il l'invoque. Il en résulte que l'intérêt du recourant à bénéficier de sa rente AVS jusqu'à droit jugé sur son recours ne l'emporte pas sur l'intérêt de la caisse à compenser sa créance. Il ne se justifie donc pas de restituer l'effet suspensif au recours.</w:t>
      </w:r>
    </w:p>
    <w:p>
      <w:r>
        <w:t>A/3306/2016 - 7/7 - 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