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ATAS/851/2011 vom 13. September 2011</w:t>
      </w:r>
    </w:p>
    <w:p>
      <w:r>
        <w:t>GE Cour de justice, 2011-09-13, FR</w:t>
      </w:r>
    </w:p>
    <w:p>
      <w:r>
        <w:rPr>
          <w:b/>
        </w:rPr>
        <w:t xml:space="preserve">Quelle: </w:t>
      </w:r>
      <w:r>
        <w:t>https://mcp.opencaselaw.ch/entscheid/ge_gerichte_ATAS_851_2011</w:t>
      </w:r>
    </w:p>
    <w:p>
      <w:r>
        <w:t>FR: GE_GERICHTE ATAS/851/2011 du 13 septembre 2011</w:t>
      </w:r>
    </w:p>
    <w:p>
      <w:r>
        <w:t>IT: GE_GERICHTE ATAS/851/2011 del 13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La recevabilité du recours a déjà été admise par arrêt incident du 5 avril 2011.</w:t>
      </w:r>
    </w:p>
    <w:p>
      <w:r>
        <w:rPr>
          <w:b/>
        </w:rPr>
        <w:t>E. 4</w:t>
      </w:r>
    </w:p>
    <w:p>
      <w:r>
        <w:t>Le litige porte sur le maintien du droit du recourant à une rente d’invalidité, plus particulièrement sur son degré d’invalidité.</w:t>
      </w:r>
    </w:p>
    <w:p>
      <w:r>
        <w:rPr>
          <w:b/>
        </w:rPr>
        <w:t>E. 5</w:t>
      </w:r>
    </w:p>
    <w:p>
      <w:r>
        <w:t>Aux termes de l’art. 8 al. 1er LPGA, est réputée invalidité l’incapacité de gain totale ou partielle qui est présumée permanente ou de longue durée. En vertu de l’art. 28 al. 2 LAI, l’assuré a droit à une rente entière s’il est invalide à 70% au moins, à trois quarts de rente s’il est invalide à 60% au moins, à une demi- rente s’il est invalide à 50% au moins ou à un quart de rente s’il est invalide à 40% au moins.</w:t>
      </w:r>
    </w:p>
    <w:p>
      <w:r>
        <w:rPr>
          <w:b/>
        </w:rPr>
        <w:t>E. 6</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n. 21 ad art. 17; ATF 130 V 343 consid. 3.5). Le point de savoir si un changement notable des circonstances s’est produit doit être tranché en comparant les faits tels qu’ils se présentaient au moment de la</w:t>
      </w:r>
    </w:p>
    <w:p>
      <w:r>
        <w:t>A/760/2011 - 20/23 -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A/760/2011 - 21/23 -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En l’espèce, si l’état de santé du recourant a fait l’objet d’investigations poussées par l’intimé avant la première arthroplastie, force est de constater que seuls les rapports des médecins traitants figurent au dossier depuis qu’il a subi cette intervention à la hanche gauche en 2010. Or, ces rapports ne satisfont pas aux exigences formelles dégagées par la jurisprudence rappelée ci-dessus. Du point de vue matériel, ils ne suffisent pas non plus à démontrer une incapacité totale de travail. S'agissant notamment du rapport du 24 juin 2010 de la Dresse A___________, il y a lieu de souligner que cette praticienne fait état d'une aggravation de l'état du recourant, alors que les symptômes qu'elle recense (soit douleurs du rachis, blocages lombaires et douleurs à la hanche) sont pour l'essentiel identiques à ceux qu'elle a notés dans ses rapports de 1997 et 1998. Quant aux troubles constatés par le Dr O__________, ils sont restés stationnaires si l'on se réfère à son rapport du 26 juillet 2010, qui reprend les diagnostics posés en avril 2009, soit à l'époque où le Dr AA_________ - dont l'expertise se révèle conforme aux réquisits jurisprudentiels et doit se voir reconnaître une pleine valeur probante - a conclu à une capacité de travail de 70 % dans une activité adaptée. Quant au rapport du Dr AC_________, établi en novembre 2010, s'il conclut à une incapacité de travail, il fonde celle-ci sur des lombalgies chroniques, déjà prises en compte par l'expert. Les doutes émis par le Dr Q__________ dans son rapport du 7 février 2011 quant à la possibilité de réinsertion professionnelle sont motivés moins par des atteintes à la santé que par la longue inactivité professionnelle du recourant. Or, il s'agit-là d'un facteur socioculturel, étranger à l'assurance-invalidité, et qui ne permet pas de conclure à une atteinte à la santé à caractère invalidant (ATF 127 V 294, consid. 5a). On relèvera en outre la contradiction entre cette évaluation par le Dr Q__________ et celle contenue dans son courrier au recourant du 15 janvier 2008, prévoyant une capacité de travail totale dans une activité sédentaire après l'arthroplastie. Enfin, le rapport du Dr V_________ du 16 février 2011 fait état de limitations fonctionnelles qui peuvent rendre difficile l'accès à une activité lucrative, mais ne suffisent pas à l'exclure. Si ce médecin fait état d'une possible</w:t>
      </w:r>
    </w:p>
    <w:p>
      <w:r>
        <w:t>A/760/2011 - 22/23 - future dégradation de l'état du poignet du recourant, il ne s'agit que d'une hypothèse qui ne semble pas imminente et ne justifie pas pour l'heure une incapacité de travail complète. Compte tenu des doutes qui persistent quant à l'état actuel du recourant, la Cour de céans n'est pas en mesure de statuer sur le maintien de son droit à la rente.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 Tel est bien le cas en l'espèce, puisque l'intimé s'est reposé sur des motifs purement théoriques - soit le décours habituellement favorable d'une arthroplastie - pour admettre une amélioration de la capacité de travail du recourant après les interventions subies aux hanches. Il y a donc lieu de renvoyer la cause à l'intimé, à charge pour celui-ci de procéder à une expertise médicale bidisciplinaire, qui comprendra un volet rhumatologique et neurologique. Un examen par un spécialiste de la main n'est en revanche pas nécessaire en l'absence de nouvelle atteinte concrète au poignet, l'expert rhumatologue étant à même d'examiner les atteintes présentées par le recourant à cette articulation. Il sied à cet égard de rendre l'intimé attentif aux nouvelles exigences formulées par le Tribunal fédéral en matière de mise en œuvre de l'expertise par l'administration (consid. 3.4.2.9 de l'arrêt du 28 juin 2011).</w:t>
      </w:r>
    </w:p>
    <w:p>
      <w:r>
        <w:rPr>
          <w:b/>
        </w:rPr>
        <w:t>E. 9</w:t>
      </w:r>
    </w:p>
    <w:p>
      <w:r>
        <w:t>Conformément à ce qui précède, le recours contre la décision de l’intimé du</w:t>
      </w:r>
    </w:p>
    <w:p>
      <w:r>
        <w:rPr>
          <w:b/>
        </w:rPr>
        <w:t>E. 10</w:t>
      </w:r>
    </w:p>
    <w:p>
      <w:r>
        <w:t>février 2011 est partiellement admis et la cause renvoyée à l’intimé, à charge pour lui de mettre en œuvre une nouvelle expertise dans le sens des considérants. La procédure en matière de contestations portant sur l’octroi ou le refus de prestations de l’assurance-invalidité étant soumise à des frais de justice (art. 69 al. 1bis LAI), un émolument de 500 fr. sera mis à la charge de l’intimé. Le recourant obtenant gain de cause, une indemnité de 2'000 fr. lui est accordée à titre de dépens (art. 61 let. g LPGA).</w:t>
      </w:r>
    </w:p>
    <w:p>
      <w:r>
        <w:t>A/760/2011 - 23/23 -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