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ATAS/850/2010 vom 25. August 2010</w:t>
      </w:r>
    </w:p>
    <w:p>
      <w:r>
        <w:t>GE Cour de justice, 2010-08-25, FR</w:t>
      </w:r>
    </w:p>
    <w:p>
      <w:r>
        <w:rPr>
          <w:b/>
        </w:rPr>
        <w:t xml:space="preserve">Quelle: </w:t>
      </w:r>
      <w:r>
        <w:t>https://mcp.opencaselaw.ch/entscheid/ge_gerichte_ATAS_850_2010</w:t>
      </w:r>
    </w:p>
    <w:p>
      <w:r>
        <w:t>FR: GE_GERICHTE ATAS/850/2010 du 25 août 2010</w:t>
      </w:r>
    </w:p>
    <w:p>
      <w:r>
        <w:t>IT: GE_GERICHTE ATAS/850/2010 del 25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w:t>
      </w:r>
    </w:p>
    <w:p>
      <w:r>
        <w:t>A/3329/2009 - 6/12 - En l'espèce, l'objet du litige porte sur une demande de prestations datée du 24 janvier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celles du 6 octobre 2006 (5ème révision de la LAI), entrées en vigueur le 1er janvier 2008.</w:t>
      </w:r>
    </w:p>
    <w:p>
      <w:r>
        <w:rPr>
          <w:b/>
        </w:rPr>
        <w:t>E. 3</w:t>
      </w:r>
    </w:p>
    <w:p>
      <w:r>
        <w:t>Interjeté dans les forme et délai prescrits, le recours est recevable (art. 56 et 60 LPGA).</w:t>
      </w:r>
    </w:p>
    <w:p>
      <w:r>
        <w:rPr>
          <w:b/>
        </w:rPr>
        <w:t>E. 4</w:t>
      </w:r>
    </w:p>
    <w:p>
      <w:r>
        <w:t>Le litige porte sur le droit du recourant à une rente de l'assurance-invalidité, singulièrement sur son statut et son degré d'invalidité.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 b) Selon l’art. 4 al. 2 LAI, l’invalidité est réputée survenue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c) En vertu de l’art. 28a LAI, l’art. 16 LPGA s’applique à l’évaluation de l’invalidité des assurés exerçant une activité lucrative (al. 1er). L’invalidité de</w:t>
      </w:r>
    </w:p>
    <w:p>
      <w:r>
        <w:t>A/3329/2009 - 7/12 -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(méthode mixte).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Toutefois, lorsqu’il y a lieu d’admettre que si l’assuré ne souffrait d’aucune atteinte à la santé, il exercerait, au moment de l’examen de son droit à la rente, une activité lucrative à temps complet, l’invalidité est évaluée exclusivement selon les principes applicables aux personnes exerçant une activité lucrative (art. 27bis RAI).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S'agissant de la méthode mixte, pour déterminer la part de l’activité lucrative par rapport à celle consacrée aux travaux ménagers, il convient d’examiner ce que ferait l’assuré dans les mêmes circonstances s’il n’était pas atteint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146 consid. 2c).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w:t>
      </w:r>
    </w:p>
    <w:p>
      <w:r>
        <w:t>A/3329/2009 - 8/12 - valide ; on calcule donc le rapport en pour-cent entre ces deux valeurs. La part des travaux habituels constitue le reste du pourcentage (cf. ATF 130 V 393 consid. 3.3 et les références, 104 V 136 consid. 2a).</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est admis par les parties que le recourant souffre d'une polyarthrite rhumatoïde déformante et invalidante. Dans son rapport médical du 10 mars 2008,</w:t>
      </w:r>
    </w:p>
    <w:p>
      <w:r>
        <w:t>A/3329/2009 - 9/12 - confirmé lors de l'audience du 21 avril 2010, la Dresse A__________ a certifié que la capacité de travail du recourant était nulle, quelle que soit l'activité envisagée, au moins dès le 21 février 2008, date de la première consultation. Le diagnostic a été posé sur la base d'un examen clinique complet, de sorte que la description du contexte médical et l'appréciation de la situation médicale sont claires, ne renfermant pas de contradiction. Le médecin a dûment motivé les raisons pour lesquelles la capacité de travail du recourant était nulle, que ce soit dans son activité habituelle ou dans une activité adaptée. Aussi, il convient de conférer pleine valeur probante à l'avis médical de la Dresse A__________. A cet égard, force est de constater que l'intimé ne conteste pas l'avis de la Dresse A__________. Il en va de même du SMR qui s'est limité à se référer, sans motivation, aux résultats de l'enquête ménagère, pourtant sans pertinence quant à la capacité de travail du recourant. Par ailleurs, il est le lieu de rappeler que l'intimé, dans son écriture du 3 décembre 2009, a sollicité du Tribunal de céans une instruction médicale complémentaire, en vue d'auditionner la Dresse A__________, laquelle a confirmé, lors de l'audience du 21 avril 2010, ses conclusions médicales. L'intimé n'a pas contesté, dans son écriture du 4 mai 2010, et dans le cadre de la procédure en général, les raisons pour lesquelles l'avis émis par la spécialiste en rhumatologie ne serait pas soutenable. Le Tribunal de céans ne saurait donc remettre en cause la valeur probante de l'avis de la Dresse A__________, qui n'est, au demeurant, ni contesté ni contredit par l'intimé. Aussi, il y a lieu d'admettre que la capacité de travail du recourant est nulle, quelle que soit l'activité envisagée.</w:t>
      </w:r>
    </w:p>
    <w:p>
      <w:r>
        <w:rPr>
          <w:b/>
        </w:rPr>
        <w:t>E. 7</w:t>
      </w:r>
    </w:p>
    <w:p>
      <w:r>
        <w:t>Dès lors, il sied de procéder au calcul du degré d'invalidité. Le recourant conteste l'application de la méthode mixte d'évaluation appliquée par l'intimé. En effet, il expose que sans ses atteintes à la santé, il travaillerait à 100% et non à 60%, arguant que, lors de l'enquête ménagère, sa réponse a été formulée naïvement, sans qu'il n'ait jamais réfléchi auparavant à cette question, et sans en avoir évalué la faisabilité. Toutefois, et pour les motifs qui suivent, la question peut rester ouverte, dès lors que, quel que soit le statut du recourant, il a droit à une rente entière d'invalidité. En effet, et en suivant la formule consacrée dans la Circulaire sur l'invalidité et l'impotence dans l'assurance-invalidité (chiffre 3110 CIIAI, méthode mixte) établie par l'OFAS (valable dès 1er janvier 2010), les données idoines sont les suivantes: le temps consacré par le recourant en tant que personne non invalide exerçant une activité lucrative en heures par semaine est de 25,2 heures (60% de 42 heures). Le recourant s'occupe de son ménage à raison de 16,8 heures (42 heures - 25,2 heures). En retenant un taux d'invalidité ménagère de 40,73 % et une incapacité de travail en tant que personne exerçant une activité lucrative de 100%, le degré d'invalidité s'établit comme suit:</w:t>
      </w:r>
    </w:p>
    <w:p>
      <w:r>
        <w:t>A/3329/2009 - 10/12 - [(25.2 x 100%) + (16.8 x 40.73%)] / 42 = 76.29 %. Un taux d'invalidité dès 70 % ouvre donc le droit à une rente entière d'invalidité. A considérer, comme le soutient le recourant, qu'il aurait travaillé à 100 % sans ses atteintes à la santé, il aurait également droit à une rente entière d'invalidité, dès lors que sa capacité de travail est nulle tant son activité habituelle que dans une activité adaptée. Quant à l'ouverture du droit à la rente, le recourant soutient que compte tenu du stade avancé de sa maladie, l'incapacité existait déjà plus de six mois avant le dépôt de la demande du mois de janvier 2008, ouvrant ainsi le droit à la rente dès le mois de juin 2008, conformément à l'art. 29 al. 1 LAI. Dans son rapport médical du 10 mars 2008, la Dresse A__________ indique que l'incapacité de travail était totale depuis le 21 février 2008, date de la consultation, ce médecin précisant que le recourant ne pouvait toutefois pas travailler avant. Lors de son audition, la praticienne a déclaré que les déformations dont souffre le recourant pourraient dater de 6 mois comme de 10 ans. En l'absence d'un bilan radiologique, elle n'était toutefois pas en mesure de se prononcer formellement, tout en précisant qu'elle n'avait jamais vu de patient qui présentait de telles déformations en moins de 6 mois. Eu égard à ce qui précède, il y a lieu d'admettre, au degré de la vraisemblance prépondérante, que l'incapacité de travail du recourant remonte au moins à 6 mois avant la date de la première consultation, soit au mois d'août 2007, dès lors que la Dresse A__________ atteste qu'à ce moment-là, le recourant était déjà incapable de travailler. Ce médecin n'avait en effet jamais rencontré une telle progression de la maladie en moins de 6 mois. A cet égard, la cinquième révision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consid. 2.1). Toutefois, dans la mesure où l'incapacité de travail significative a commencé à courir en août 2007 et où le délai d'attente d'une année de l'art. 29 LAI (dans sa teneur en vigueur jusqu'au 31 décembre 2007) est parvenu à échéance en août 2008, ce sont les anciennes dispositions qui s'appliquent, bien que la décision entreprise soit postérieure à leur entrée en vigueur, de même que le dépôt de la demande de prestations. Cette interprétation est au demeurant codifiée dans la lettre-circulaire n° 253 de l'OFAS, du 12 décembre 2007, La 5ème révision de l'AI et le droit transitoire. Par conséquent, la rente doit être octroyée à compter du 1er août 2008, soit dès le début du mois au cours duquel le droit prend naissance (art. 29 al. 3 LAI).</w:t>
      </w:r>
    </w:p>
    <w:p>
      <w:r>
        <w:t>A/3329/2009 - 11/12 - Pour ces motifs, le droit à la rente ne s'est pas ouvert le 1er janvier 2009, comme l'a retenu l'intimé dans la décision querellée, qui avait fixé le début de l'incapacité de travail au mois de janvier 2008, sans motivation à ce sujet. De même, le Tribunal de céans ne saurait suivre le recourant qui soutient que le droit à la rente s'est ouvert le 1er juin 2008, soit seulement dix mois après le début de l'incapacité totale de travail.</w:t>
      </w:r>
    </w:p>
    <w:p>
      <w:r>
        <w:rPr>
          <w:b/>
        </w:rPr>
        <w:t>E. 8</w:t>
      </w:r>
    </w:p>
    <w:p>
      <w:r>
        <w:t>Au vu de ce qui précède, le recours est partiellement admis.</w:t>
      </w:r>
    </w:p>
    <w:p>
      <w:r>
        <w:rPr>
          <w:b/>
        </w:rPr>
        <w:t>E. 9</w:t>
      </w:r>
    </w:p>
    <w:p>
      <w:r>
        <w:t>Le recourant a droit à une indemnité à titre de participation à ses frais et dépens, que le Tribunal fixe en l'espèce à 1'500 fr. (art. 89H al. 3 LPA; art. 61 let. g LPGA).</w:t>
      </w:r>
    </w:p>
    <w:p>
      <w:r>
        <w:rPr>
          <w:b/>
        </w:rPr>
        <w:t>E. 10</w:t>
      </w:r>
    </w:p>
    <w:p>
      <w:r>
        <w:t>Pour le surplus, un émolument de 500 fr. est mis à la charge de l'intimé (cf. art. 69 al. 1bis LAI).</w:t>
      </w:r>
    </w:p>
    <w:p>
      <w:r>
        <w:t>A/3329/2009 - 12/12 -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