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ATAS/84/2021 vom 4. Februar 2021</w:t>
      </w:r>
    </w:p>
    <w:p>
      <w:r>
        <w:t>GE Cour de justice, 2021-02-04, FR</w:t>
      </w:r>
    </w:p>
    <w:p>
      <w:r>
        <w:rPr>
          <w:b/>
        </w:rPr>
        <w:t xml:space="preserve">Quelle: </w:t>
      </w:r>
      <w:r>
        <w:t>https://mcp.opencaselaw.ch/entscheid/ge_gerichte_ATAS_84_2021</w:t>
      </w:r>
    </w:p>
    <w:p>
      <w:r>
        <w:t>FR: GE_GERICHTE ATAS/84/2021 du 4 février 2021</w:t>
      </w:r>
    </w:p>
    <w:p>
      <w:r>
        <w:t>IT: GE_GERICHTE ATAS/84/2021 del 4 febbraio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LPGA relatives à la LAA.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2017 est entrée en vigueur la modification du 25 septembre 2015 de la LAA. Dans la mesure où l'accident est survenu après cette date, le droit de la recourante aux prestations d'assurance est soumis au nouveau droit (cf. dispositions transitoires relatives à la modification du 25 septembre 2015 ; arrêt du Tribunal fédéral 8C_662/2016 du 23 mai 2017 consid. 2.2). Les dispositions légales seront citées ci-après dans leur teneur en vigueur à compter du 1er janvier 2017.</w:t>
      </w:r>
    </w:p>
    <w:p>
      <w:r>
        <w:rPr>
          <w:b/>
        </w:rPr>
        <w:t>E. 4</w:t>
      </w:r>
    </w:p>
    <w:p>
      <w:r>
        <w:t>Le délai de recours est de trente jours (art. 56 LPGA ; art. 62 al. 1 de la de loi sur la procédure administrative du 12 septembre 1985 [LPA - E 5 10]). Interjeté dans la forme et le délai prévus par la loi, le recours est recevable de ce point de vue (art. 56ss LPGA et 62ss LPA).</w:t>
      </w:r>
    </w:p>
    <w:p>
      <w:r>
        <w:rPr>
          <w:b/>
        </w:rPr>
        <w:t>E. 5</w:t>
      </w:r>
    </w:p>
    <w:p>
      <w:r>
        <w:t>À titre préalable, il convient d’examiner si la recourante a un intérêt à recourir, ce que l’intimée nie, au motif que tous les frais de traitement auraient été pris en charge jusqu’à la date de la décision du 17 mai 2019, qu’aucun remboursement n’est réclamé à l’intéressée et que, dès le 18 juillet 2018, des indemnités journalières au titre de l’assurance perte de gain maladie lui ont été versées en lieu et place de celles de l’assurance-accidents, d’un montant identique. a. Selon l’art. 59 LPGA, a qualité pour recourir quiconque est touché par la décision et a un intérêt digne d'être protégé à ce qu'elle soit annulée ou modifiée. L'intérêt digne de protection déterminant la qualité pour recourir devant la juridiction cantonale doit être examiné selon les principes découlant de l'art. 103 let. a de la loi fédérale du 16 décembre 1943 d'organisation judiciaire, en vigueur jusqu’au 31 décembre 2006 (aOJ - RS 173.110 ; ATF 130 V 388 consid. 2.2 p. 390 s. et les références de jurisprudence et de doctrine). Un intérêt digne de protection représente tout intérêt pratique ou juridique à demander la modification ou</w:t>
      </w:r>
    </w:p>
    <w:p>
      <w:r>
        <w:t>A/3625/2019 - 11/23 - l'annulation de la décision attaquée. Cet intérêt consiste dans l'utilité pratique que l'admission du recours apporterait au recourant, en lui évitant de subir un préjudice de nature économique, idéale, matérielle ou autre que la décision attaquée lui occasionnerait. Il implique que cet intérêt soit direct et concret, le recourant devant se trouver, avec la décision entreprise, dans un rapport suffisamment étroit, spécial et digne d'être pris en considération. Il doit être touché dans une mesure et avec une intensité plus grande que l'ensemble des administrés (ATF 137 II 40 consid. 2.2). b. En l’espèce, la recourante a fait valoir qu’elle a personnellement payé diverses factures pour des consultations ayant eu lieu après la date de la décision, d’un montant total de plus de CHF 2'300.-, factures qui ont été envoyées à l’intimée et n’ont pas été remboursées par celle-ci. Partant, la recourante a un intérêt à ce que soit tranchée la question de l’éventuelle obligation de prester de l’assurance- accidents au-delà du 17 mai 2019 et, par conséquent, elle a bel et bien un intérêt à recourir. Quant à l’argument relatif aux indemnités journalières versées à la recourante à compter du 18 juillet 2018, l’intimée ne saurait être suivie. En effet, bien que la recourante n’ait subi aucun délai de carence et que le montant des indemnités journalières perte de gain soit identique à celui versé par l’assurance-accidents, il s’agit là de prestations de nature différente. La recourante a, là encore, un intérêt à voir reconnaître son droit éventuel aux indemnités de l’assurance-accident, ne serait-ce qu’en raison de la limitation dans le temps des indemnités de l’assurance perte de gain maladie.</w:t>
      </w:r>
    </w:p>
    <w:p>
      <w:r>
        <w:rPr>
          <w:b/>
        </w:rPr>
        <w:t>E. 6</w:t>
      </w:r>
    </w:p>
    <w:p>
      <w:r>
        <w:t>Le litige porte sur la question du droit de la recourante aux prestations de l’assurance-accidents au-delà du 17 septembre 2018, plus particulièrement sur la persistance d’un lien de causalité entre les troubles subsistant au-delà de cette date et l’accident du 2 mars 2018, étant précisé que les frais médicaux ont de facto été pris en charge par l’intimée jusqu’au 17 mai 2019.</w:t>
      </w:r>
    </w:p>
    <w:p>
      <w:r>
        <w:rPr>
          <w:b/>
        </w:rPr>
        <w:t>E. 7</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a.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w:t>
      </w:r>
    </w:p>
    <w:p>
      <w:r>
        <w:t>A/3625/2019 - 12/23 -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RAMA 2000 n° U 363 p. 46).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w:t>
      </w:r>
    </w:p>
    <w:p>
      <w:r>
        <w:t>A/3625/2019 - 13/23 - ATF 117 V 359 consid. 5d/bb ; arrêt du Tribunal fédéral des assurances U 351/04 du 14 février 2006 consid. 3.2). d.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w:t>
      </w:r>
    </w:p>
    <w:p>
      <w:r>
        <w:rPr>
          <w:b/>
        </w:rPr>
        <w:t>E. 8</w:t>
      </w:r>
    </w:p>
    <w:p>
      <w:r>
        <w:t>a. 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les élongations de muscles (let. e) ; les déchirures de tendons (let. f) ; les lésions de ligaments (let. g) ;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b.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w:t>
      </w:r>
    </w:p>
    <w:p>
      <w:r>
        <w:t>A/3625/2019 - 14/23 - (Message du Conseil fédéral relatif à la modification de la loi fédérale sur l’assurance-accidents du 30 mai 2008, FF 2008 4893). Dans un arrêt de principe du 24 septembre 2019 (ATF 146 V 51),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compétence de l'assureur-accidents ; calcul du gain assuré ;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 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(consid. 9.1). Si aucun événement initial ne peut être établi, ou si seul un événement bénin ou anodin peut être établi, cela simplifie de toute évidence la preuve de la libération pour l'assureur-accidents. En effet, l'ensemble des causes des atteintes corporelles en question doit être pris en compte dans la question de la délimitation, qui doit être évaluée avant tout par des médecins spécialistes. Outre la condition précédente,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pour ou contre l'usure ou la maladie doivent être pondérés d'un point de vue médical. L'assureur-accidents doit prouver, sur la base d'évaluations médicales concluantes - au degré de la vraisemblance prépondérante - que la lésion en question est due de manière prépondérante à l'usure ou à la maladie, c'est-à-dire plus de 50% de tous les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(consid. 8.6).</w:t>
      </w:r>
    </w:p>
    <w:p>
      <w:r>
        <w:t>A/3625/2019 - 15/23 -</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w:t>
      </w:r>
    </w:p>
    <w:p>
      <w:r>
        <w:t>A/3625/2019 - 16/23 -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La procédure dans le domaine des assurances sociales est régie par le principe inquisitoire d'après lequel les faits pertinents de la cause doivent être constatés d'office par l'assureur (art. 43 al. 1 LPGA) ou, éventuellement, par le juge (art. 61</w:t>
      </w:r>
    </w:p>
    <w:p>
      <w:r>
        <w:t>A/3625/2019 - 17/23 -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arrêt du Tribunal fédéral 8C_760/2011 du 26 janvier 2012 consid. 3).</w:t>
      </w:r>
    </w:p>
    <w:p>
      <w:r>
        <w:rPr>
          <w:b/>
        </w:rPr>
        <w:t>E. 13</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w:t>
      </w:r>
    </w:p>
    <w:p>
      <w:r>
        <w:t>A/3625/2019 - 18/23 -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14</w:t>
      </w:r>
    </w:p>
    <w:p>
      <w:r>
        <w:t>En l’espèce, dans sa décision du 17 mai 2019, confirmée sur opposition, l’intimée a considéré que le statu quo ante avait été atteint le 17 septembre 2018 et que l’incapacité de travail du 18 juillet au 11 novembre 2018 n’était plus en relation avec l’accident du 2 mars 2018, tout en renonçant à réclamer la restitution des frais médicaux payés entre le 17 septembre 2018 et le jour de la décision.</w:t>
      </w:r>
    </w:p>
    <w:p>
      <w:r>
        <w:rPr>
          <w:b/>
        </w:rPr>
        <w:t>E. 15</w:t>
      </w:r>
    </w:p>
    <w:p>
      <w:r>
        <w:t>consid. 2a/aa). Cela implique que l'autorité (en particulier un assureur tel que l'intimé) y mentionne au moins brièvement les éléments de faits pertinents, les dispositions légales applicables et les motifs qui l'amènent à rendre sa décision ; un renvoi général aux pièces du dossier et à la loi ne satisfait pas à l'obligation de motiver (Valérie DÉFAGO GAUDIN, in Commentaire romand de la loi sur la partie générale des assurances sociales, éd. par Anne-Sylvie DUPONT / Margit MOSER-SZELESS, 2018 [ci-après : CR-LPGA], n. 35). Il n'y a violation du droit d'être entendu que si l'autorité ne satisfait pas à son devoir minimum d'examiner les problèmes pertinents (ATF 129 I 232 consid. 3.2 ; ATF 126 I 97 consid. 2b). La motivation d'une décision est suffisante lorsque l'intéressé est mis en mesure d'en apprécier la portée et de la déférer à une instance supérieure en pleine connaissance de cause (ATF 122 IV 14 consid. 2c). En règle</w:t>
      </w:r>
    </w:p>
    <w:p>
      <w:r>
        <w:t>A/3625/2019 - 19/23 - générale, l'étendue de l'obligation de motiver dépend de la complexité de l'affaire à juger, de la liberté d'appréciation dont jouit l'autorité et de la potentielle gravité des conséquences de sa décision (ATF 112 Ia 107 consid. 2b). c.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131consid. 2b et les références). Elle peut se justifier en présence d'un vice grave notamment lorsque le renvoi constituerait une vaine formalité et aboutirait à un allongement inutile de la procédure (ATF 137 I 195 consid. 2.3.2 ; ATF 136 V 117 consid. 4.2.2.2 ; ATF 133 I 201 consid. 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(ATAS/511/2014 du 16 avril 2014 consid. 13b ; ATAS/1081/2013 du 6 novembre 2013 consid. 4c ; ATA/304/2013 du 14 mai 2013 consid. 4c ; ATA/126/2013 du 26 février 2013). d. En l’espèce, la motivation de la décision sur opposition querellée apparaît certes sommaire : après avoir rappelé qu’elle n’avait jamais contesté l’existence d’un accident et que le litige avait trait à la problématique de la causalité, l’intimée s’est principalement référée au rapport du Dr H______, lequel avait retenu que les examens radiologiques ne démontraient pas de lésion structurelle et que l’incapacité de travail du 18 juillet au 11 novembre 2018 ne serait pas justifiée du point de vue médical, le statu quo ante ayant été atteint le 17 septembre 2018. Cela étant, cette décision est suffisamment motivée pour que la recourante en saisisse la portée et expose, dans le cadre de la présente procédure de recours, les raisons pour lesquelles l’intimée ne pouvait selon elle retenir un statu quo ante au</w:t>
      </w:r>
    </w:p>
    <w:p>
      <w:r>
        <w:rPr>
          <w:b/>
        </w:rPr>
        <w:t>E. 17</w:t>
      </w:r>
    </w:p>
    <w:p>
      <w:r>
        <w:t>S’agissant du fond du litige, l’intimée s’est basée sur les avis du Dr H______ des 12 novembre 2018 et 15 mars 2019 pour retenir que le statu quo ante avait été atteint le 17 septembre 2018 et que l’incapacité de travail du 18 juillet au 11 novembre 2018 n’était pas justifiée du point de vue médical. Il convient à titre liminaire de relever que ces appréciations médicales ne sont pas le fait d’un spécialiste indépendant, le Dr H______ devant être considéré comme un médecin interne à l’intimée. Par ailleurs, elles ont été établies sur dossier. Ces éléments ne remettent toutefois pas en question la valeur probante de ces rapports, pour autant que ceux-ci se fondent sur suffisamment de pièces établies suite à un examen clinique de la recourante et qu’ils répondent aux réquisits jurisprudentiels en matière de valeur probante. En l’espèce, le Dr H______ s’est référé dans sa première appréciation au rapport d’IRM réalisé le 18 juillet 2018 et au rapport de la Dresse G______ du 23 octobre 2018. Dans son avis du 15 mars 2019, il s’est fondé sur l’arthroscanner réalisé en septembre 2018 et le rapport de la Dresse I______ du 5 février 2019. Ces deux appréciations sont cependant extrêmement succinctes. Le Dr H______ ne discute aucunement les pièces citées, il se contente d’en retenir quelques mots (« absence de lésion structurelle définie » pour l’IRM et l’arthroscanner, « perforation centrale du ligament luno-triquétral, amincissement du TFCC » pour le rapport de la Dresse G______). Dans son premier rapport, il conclut, sans aucune explication, à l’absence de justification pour l’incapacité de travail attestée à compter du 18 juillet 2018, date du statu quo ante. Dans son second rapport, il retient cette fois, à nouveau sans aucune explication, que le statu quo ante aurait été atteint le 17 septembre 2018 - et non plus le 18 juillet 2018 -, tout en maintenant que l’incapacité de travail du 18 juillet au 11 novembre 2018 n’était pas justifiée du point de vue médical. Ces éléments permettent déjà de douter de la valeur probante de ces rapports. S’y ajoute le fait que, contrairement à ce que soutient l’intimée, le dossier contient des pièces contredisant ces avis : ainsi, dans son rapport du 21 septembre 2018, le Dr E______ explique clairement le déroulement et les conclusions de l’arthroscanner, qui a mis en évidence l’existence d’une perforation du ligament triangulaire du carpe, d’une perforation du ligament luno-triquétral et d’un amincissement du ligament TFCC. Il justifie un arrêt de travail jusqu’au 7 octobre 2018 en raison des douleurs, précisant qu’une nouvelle évaluation aura lieu dans les deux mois. Dans son rapport du 23 octobre 2108, la Dresse G______ confirme le</w:t>
      </w:r>
    </w:p>
    <w:p>
      <w:r>
        <w:t>A/3625/2019 - 21/23 - diagnostic posé par le Dr E______ et précise que l’évolution est favorable, avec une reprise progressive des amplitudes articulaires. Elle mentionne toutefois à titre de limitations des douleurs et un manque de force et atteste une totale incapacité de travail jusqu’au 2 novembre 2018, une reprise du travail étant envisageable dans les six semaines. Elle préconise une adaptation du poste de travail et une diminution du port de charges. Par ailleurs, elle répond par la négative à la question de savoir s’il existe des circonstances particulières pouvant influencer de manière défavorable le processus de guérison (comme des maladies antérieures, des accidents ou des circonstances sociales). Le dossier contient encore un rapport de la Dresse I______ du 5 février 2019, notant des mobilités récupérées, avec une raideur en fin de course, une flexion obtenue à quasi 70° et une extension à 55°, voire 60° et une douleur sur le versant ulnaire du poignet, surtout à l’appui axial en hyperextension. À la lecture des rapports du Dr E______ et de la Dresse G______ - tous deux spécialisés en chirurgie de la main -, qui témoignent tous deux d’une absence de récupération complète à la suite de l’accident et justifient les arrêts de travail de la recourante, l’on peine à comprendre sur quoi le Dr H______ s’est basé pour retenir que le statu quo ante aurait été atteint le 18 juillet 2018, puis le 17 septembre 2018. Dans le cadre de la présente procédure, l’intimée a produit un nouveau rapport du Dr H______, daté du 25 octobre 2019, lequel n’est pas plus clair que les précédents. Après avoir procédé à un résumé des rapports d’examens (radiographie, IRM et arthroscanner), il conclut à nouveau à l’absence de lésion structurelle définie, mais relève que les résultats d’imagerie seraient partiellement contradictoires, et qu’une corrélation avec les problèmes cliniques présentés n’est pas évidente, sans plus d’explications. Il retient cette fois un statu quo sine sans aggravation directionnelle au plus tard le 17 septembre 2018, mais recommande de compléter le dossier médical sur les antécédents, admettant ainsi ne pas disposer de tous les éléments pour se prononcer. Au vu de ce qui précède, en particulier de l’absence de valeur probante des rapports du Dr H______, des contradictions contenues entre ces derniers et de l’incertitude quant à une récupération complète en février 2019 (la Dresse I______ a suggéré que de nouveaux examens soient effectués), l’intimée ne pouvait conclure, sur la seule base des rapports de son médecin-conseil, à un statu quo ante le 17 septembre 2018 et au caractère injustifié de l’incapacité du 18 juillet au 11 novembre 2018. Le dossier médical n’étant pas suffisamment instruit, la Cour de céans n’est pas en mesure de trancher le fond du litige. La valeur probante des avis médicaux sur lesquels s'est fondée l'intimée pour rendre sa décision étant contestable, il se justifie, au vu de la jurisprudence susmentionnée (ATF 135 V 465), de renvoyer la cause à l’intimée afin qu’elle procède à une instruction complémentaire auprès d’un expert indépendant, spécialiste en chirurgie de la main. Ce dernier aura pour mission de déterminer si le statu quo ante / sine a été atteint, cas échéant à quelle</w:t>
      </w:r>
    </w:p>
    <w:p>
      <w:r>
        <w:t>A/3625/2019 - 22/23 - date, afin de fixer le moment auquel l’obligation de prester de l’intimée a pris fin, tant pour le paiement des indemnités journalières en cas d’incapacité de travail, que pour la prise en charge des frais médicaux induits par le traitement suivi par la recourante. En ce sens, le recours est partiellement admis et la décision sur opposition de l'intimée du 26 août 2019 annulée. Le dossier est renvoyé à l'intimée pour la mise en œuvre une expertise administrative indépendante.</w:t>
      </w:r>
    </w:p>
    <w:p>
      <w:r>
        <w:rPr>
          <w:b/>
        </w:rPr>
        <w:t>E. 18</w:t>
      </w:r>
    </w:p>
    <w:p>
      <w:r>
        <w:t>La recourante, représentée par un conseil, obtenant partiellement gain de cause, une indemnité de CHF 2'000.- lui est accordée à titre de participation à ses frais et dépens (art. 61 let. g LPGA; art. 89H al. 3 LPA ; art. 6 du règlement sur les frais, émoluments et indemnités en matière administrative du 30 juillet 1986 [RFPA - E 5 10.03]). Pour le surplus, la procédure est gratuite (art. 61 let. a LPGA).</w:t>
      </w:r>
    </w:p>
    <w:p>
      <w:r>
        <w:t>A/3625/2019 - 23/23 -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