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ATAS/84/2020 vom 5. Februar 2020</w:t>
      </w:r>
    </w:p>
    <w:p>
      <w:r>
        <w:t>GE Cour de justice, 2020-02-05, FR</w:t>
      </w:r>
    </w:p>
    <w:p>
      <w:r>
        <w:rPr>
          <w:b/>
        </w:rPr>
        <w:t xml:space="preserve">Quelle: </w:t>
      </w:r>
      <w:r>
        <w:t>https://mcp.opencaselaw.ch/entscheid/ge_gerichte_ATAS_84_2020</w:t>
      </w:r>
    </w:p>
    <w:p>
      <w:r>
        <w:t>FR: GE_GERICHTE ATAS/84/2020 du 5 février 2020</w:t>
      </w:r>
    </w:p>
    <w:p>
      <w:r>
        <w:t>IT: GE_GERICHTE ATAS/84/2020 del 5 febbraio 2020</w:t>
      </w:r>
    </w:p>
    <w:p>
      <w:pPr>
        <w:pStyle w:val="Heading2"/>
      </w:pPr>
      <w:r>
        <w:t>Erwägungen</w:t>
      </w:r>
    </w:p>
    <w:p>
      <w:r>
        <w:rPr>
          <w:b/>
        </w:rPr>
        <w:t>E. 7</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8</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w:t>
      </w:r>
    </w:p>
    <w:p>
      <w:r>
        <w:t>A/3094/2018 - 24/32 -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A/3094/2018 - 25/32 -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Par ailleurs,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w:t>
      </w:r>
    </w:p>
    <w:p>
      <w:r>
        <w:t>A/3094/2018 - 26/32 - que l’on peut clairement constater ou des indices laissant apparaître une inexactitude dans les résultats de l’enquête (ATF 129 V 67 consid. 2.3.2 non publié au Recueil officiel mais dans VSI 2003 p. 221; arrêt du Tribunal fédéral des assurances I 733/06 du 16 juillet 2007).</w:t>
      </w:r>
    </w:p>
    <w:p>
      <w:r>
        <w:rPr>
          <w:b/>
        </w:rPr>
        <w:t>E. 10</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et ATF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Le revenu sans invalidité se détermine en règle générale d'après le dernier salaire que l'assuré a obtenu avant l'atteinte à la santé, en tenant compte de l'évolution des salaires jusqu'au moment du prononcé de la décision (ATF 129 V 222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 après : ESS) publiée par l'office fédéral de la statistique (ci-après OFS) sur la base de statistiques salariales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w:t>
      </w:r>
    </w:p>
    <w:p>
      <w:r>
        <w:rPr>
          <w:b/>
        </w:rPr>
        <w:t>E. 11</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w:t>
      </w:r>
    </w:p>
    <w:p>
      <w:r>
        <w:t>A/3094/2018 - 27/32 - 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(phr. 1 de l'art. 88a al. 1 RAI); on attendra en revanche trois mois au cas où le caractère évolutif de l'atteinte à la santé, notamment la possibilité d'une aggravation, ne permettrait pas un jugement immédiat (phr. 2 de la disposition; arrêt du Tribunal fédéral des assurances I 666/81 du 30 mars 1983 consid. 3, in RCC 1984 p. 137 s.). En règle générale, pour</w:t>
      </w:r>
    </w:p>
    <w:p>
      <w:r>
        <w:t>A/3094/2018 - 28/32 - examiner s'il y a lieu de réduire ou de supprimer la rente immédiatement ou après trois mois, il faut examiner pour le futur si l'amélioration de la capacité de gain peut être considérée comme durable (arrêt du Tribunal fédéral 9C_32/2015 du 10 septembre 2015 consid. 4.1). L’OAI doit réduire ou supprimer la rente avec effet à la fin du mois au cours duquel le délai de trois mois a expiré (voir arrêt du Tribunal fédéral 9C_900/2013 du 8 avril 2014 consid. 6.5 dans le même sens).</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14</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w:t>
      </w:r>
    </w:p>
    <w:p>
      <w:r>
        <w:t>A/3094/2018 - 29/32 - fédérale de la Confédération suisse du 18 avril 1999 (RS 101 - Cst; SVR 2001 IV n. 10 p. 28 consid. 4b), la jurisprudence rendue sous l’empire de l’art. 4 aCst. étant toujours valable (ATF 124 V 90 consid. 4b; ATF 122 V 157 consid. 1d).</w:t>
      </w:r>
    </w:p>
    <w:p>
      <w:r>
        <w:rPr>
          <w:b/>
        </w:rPr>
        <w:t>E. 15</w:t>
      </w:r>
    </w:p>
    <w:p>
      <w:r>
        <w:t>a. En l’espèce, l’expertise établie par les médecins de la PMU remplit de manière générale les réquisits pour se voir reconnaître pleine valeur probante. Elle se fonde sur l’étude approfondie du dossier médical de la recourante ainsi que sur des examens cliniques complets. Les anamnèses sont détaillées et les plaintes de la recourante ont été prises en considération. L’appréciation de la situation médicale est claire et chaque spécialiste a fait état de ses constatations et justifié son point de vue. Les experts se sont déterminés individuellement, puis ensemble, sur la capacité de travail et les limitations fonctionnelles de l’expertisée. b. Une évaluation médicale complète et approfondie telle que l’expertise de la PMU n’est pas remise en cause au seul motif qu’un ou plusieurs médecins traitants ont une opinion divergente. Il ne peut en aller différemment que si lesdits médecins font état d’éléments objectivement vérifiables ayant été ignorés dans le cadre de l’expertise et suffisamment pertinents pour en remettre en cause les conclusions. Tel n’est pas le cas en l’occurrence. S’agissant de l’appréciation de l’invalidité faite par le Dr L______, elle n’emporte pas conviction dans la mesure où il se réfère aux tabelles établies par la SUVA pour l’atteinte à l’intégrité, ce qui n’est pas pertinent, dès lors que l’invalidité doit s’établir selon la méthode mixte en comparant les revenus et les activités dans les travaux habituels avec et sans invalidité, selon l’art. 28a al. 3 LAI. Les rapports du Dr J______ ne suffisent pas non plus à remettre sérieusement en cause les conclusions de l’expertise de la PMU, car ils ne répondent pas aux réquisits jurisprudentiels pour se voir reconnaître une pleine valeur probante et émanent du médecin traitant de la recourante, qui pourrait être enclin à prendre son parti, vu le lien de confiance avec celle-ci, et qui n’est spécialisé, contrairement aux experts. c. Il n’y a pas lieu, dans le cas de la présente cause, de prendre en compte l’atteinte à la main de la recourante, qui a été diagnostiquée après la décision querellée du</w:t>
      </w:r>
    </w:p>
    <w:p>
      <w:r>
        <w:rPr>
          <w:b/>
        </w:rPr>
        <w:t>E. 16</w:t>
      </w:r>
    </w:p>
    <w:p>
      <w:r>
        <w:t>Les faits de la cause sont suffisamment établis, au degré de la vraisemblance prépondérante, pour la trancher, de sorte qu’il ne se justifie pas de procéder à l’interrogatoire des médecins de la recourante, ni d’ordonner une nouvelle expertise pluridisciplinaire.</w:t>
      </w:r>
    </w:p>
    <w:p>
      <w:r>
        <w:rPr>
          <w:b/>
        </w:rPr>
        <w:t>E. 17</w:t>
      </w:r>
    </w:p>
    <w:p>
      <w:r>
        <w:t>Au vu de ce qui précède, le recours sera partiellement admis, la décision du 16 juillet 2018 annulée et il sera dit que la recourante a droit à une rente entière d’invalidité du 1er octobre 2011 au 31 mars 2012.</w:t>
      </w:r>
    </w:p>
    <w:p>
      <w:r>
        <w:rPr>
          <w:b/>
        </w:rPr>
        <w:t>E. 18</w:t>
      </w:r>
    </w:p>
    <w:p>
      <w:r>
        <w:t>La recourante obtenant partiellement gain de cause, une indemnité de CHF 2'000.- lui sera accordée à titre de participation à ses frais et dépens (art. 61 let. g LPGA; art. 6 du règlement sur les frais, émoluments et indemnités en matière administrative du 30 juillet 1986 [RFPA - E 5 10.03]).</w:t>
      </w:r>
    </w:p>
    <w:p>
      <w:r>
        <w:rPr>
          <w:b/>
        </w:rPr>
        <w:t>E. 19</w:t>
      </w:r>
    </w:p>
    <w:p>
      <w:r>
        <w:t>Un émolument de CHF 500.- sera mis à la charge de l’intimé (art. 69 al. 1bis LAI).</w:t>
      </w:r>
    </w:p>
    <w:p>
      <w:r>
        <w:t>A/3094/2018 - 32/32 -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