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ATAS/84/2014 vom 15. Januar 2014</w:t>
      </w:r>
    </w:p>
    <w:p>
      <w:r>
        <w:t>GE Cour de justice, 2014-01-15, FR</w:t>
      </w:r>
    </w:p>
    <w:p>
      <w:r>
        <w:rPr>
          <w:b/>
        </w:rPr>
        <w:t xml:space="preserve">Quelle: </w:t>
      </w:r>
      <w:r>
        <w:t>https://mcp.opencaselaw.ch/entscheid/ge_gerichte_ATAS_84_2014</w:t>
      </w:r>
    </w:p>
    <w:p>
      <w:r>
        <w:t>FR: GE_GERICHTE ATAS/84/2014 du 15 janvier 2014</w:t>
      </w:r>
    </w:p>
    <w:p>
      <w:r>
        <w:t>IT: GE_GERICHTE ATAS/84/2014 del 15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formes et délai prévus par la loi, le présent recours est recevable (art. 56 à 61 LPGA et 38 al. 3 LPGA p.a.).</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remontant à 2006, du point de vue matériel, le droit éventuel aux prestations doit être examiné au regard de l'ancien droit pour la période jusqu'au 31 décembre 2007, et, après le 1er janvier 2008, respectivement</w:t>
      </w:r>
    </w:p>
    <w:p>
      <w:r>
        <w:t>A/1681/2013 - 6/11 - après le 1er janvier 2012, en fonction des modifications de la LAI consécutives à la 5ème révision et à la révision 6a,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litige porte sur le droit de la recourante à une rente entière d’invalidité, singulièrement sur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A/1681/2013 - 7/11 -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A/1681/2013 - 8/11 -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a) En l’occurrence, l’intimé a estimé que les atteintes à la santé dont souffrait la recourante n’engendraient pas d’incapacité de travail en se fondant sur le rapport d’expertise du Dr D_________ du 21 décembre 2012, lequel a été établi sur la base du dossier de la recourante, et en particulier sur son dossier radiologique, sur une anamnèse personnelle, professionnelle et médicale de celle-ci et en tenant compte de ses plaintes. Les constatations objectives ont été clairement exposées et l’expert a précisément déterminé les diagnostics neurologiques – migraines sans aura et céphalées de tension – et les raisons qui l’ont conduit à les retenir. Quant aux cervicalgies et lombalgies, il a expliqué en substance qu’il n’y avait pas d’éléments objectifs en faveur d’une souffrance radiculaire. Enfin, on comprend que dans la mesure où les céphalées répondaient bien au Zomig, une activité professionnelle pouvait être exercée à plein temps, avec un absentéisme occasionnel en cas de crise sévère, étant précisé que le tableau céphalalgique pouvait également encore être amélioré par un traitement de fond. Au vu des éléments qui précèdent, le rapport d’expertise doit se voir reconnaître pleine valeur probante au sens de la jurisprudence. En ce qui concerne les différents rapports du Dr C_________, médecin traitant de la recourante, ils ne permettent pas de remettre en cause les conclusions de l’expertise. En effet, ils ne sont pas suffisamment motivés et ne mettent pas en exergue d’éléments dont le Dr D_________ n’aurait pas tenu compte. Enfin, les autres médecins – les Dresses A__________ et B__________ – ne s’étant pas prononcés sur la conséquence des atteintes à la santé retenues sur la capacité de travail, leurs rapports ne sont pas déterminants pour établir si la recourante pouvait encore exercer une activité lucrative ou non. b) La recourante quant à elle invoque premièrement que le Dr D_________ n’a pas examiné l’incidence sur sa capacité de travail de la hernie discale en C5-C6 et de ses problèmes dorsaux. Il sera constaté que tel n’est visiblement pas le cas. En effet, les examens effectués par l’expert ont porté sur le rachis cervical et lombaire et il a</w:t>
      </w:r>
    </w:p>
    <w:p>
      <w:r>
        <w:t>A/1681/2013 - 9/11 - pris en considération les résultats des IRM au dossier qui ne mettaient pas en évidence d’argument en faveur d’une compression radiculaire, de sorte qu’il n’y avait pas d’éléments objectifs en faveur d’une souffrance radiculaire. Dès lors, il est compréhensible que pour l’expert, les cervicalgies et lombalgies n’avaient pas d’incidence sur la capacité de travail de la recourante. Deuxièmement, la recourante soutient que la gonalgie progressive au genou gauche l’empêche d’exercer une activité lucrative, produisant à l’appui de son recours une IRM du genou gauche du 27 mars 2013, laquelle conclut aux éléments suivants : fissure cartilagineuse localisée s’étendant jusqu’à l’os sous-chondral au tiers moyen de la facette rotulienne interne associée à la présence d’une microgéode sous- chondrale ; tendinopathie versus dégénérescence mucoïde du tendon poplité au niveau de sa zone d’insertion proximale à la hauteur de la fossette poplitée. A cet égard, la Cour de céans relève que l’expert a examiné la recourante très peu de temps avant cette IRM, soit environ trois mois auparavant, et qu’il a tenu compte, comme le retient l’intimé, de la présence d’une gonalgie avec craquements dans les genoux. De plus, lors de l’examen de la recourante, il a constaté une déambulation harmonieuse, la possibilité de marcher sur la pointe des pieds, des réflexes rotuliens normotifs et symétriques, une épreuve des jambes fléchies bien stabilisée et une sensibilité normale. La recourante a également déclaré qu’elle pouvait sortir se promener entre 30 à 60 minutes. Quant au Dr C_________, il n’a jamais retenu que la gonalgie empêchait la recourante d’exercer une activité lucrative. Il apparaît dès lors, au vu des différents rapports, que la gonalgie n’avait pas de répercussion sur la capacité de travail de la recourante dans son activité habituelle ou dans une activité adaptée. Partant, le fait que l’IRM mette en exergue les raisons des gonalgies ne permet pas de retenir une aggravation de l’état de santé de la recourante liée à son genou gauche, ce qu’elle ne fait d’ailleurs pas valoir dans le cadre de son recours. Pour le surplus, le rapport d’expertise étant probant et convaincant à tous égards, il n’est pas nécessaire de mettre en œuvre une instruction complémentaire telle que requise par la recourante, soit une comparution personnelle des parties et une expertise portant sur la problématique cervico-lombaire ou sur la gonalgie. c) Au vu de tout ce qui précède, la Cour de céans conclut que la recourante présente, au degré de la vraisemblance prépondérante prévue par la jurisprudence, une pleine capacité de travail dans toutes les activités lucratives.</w:t>
      </w:r>
    </w:p>
    <w:p>
      <w:r>
        <w:rPr>
          <w:b/>
        </w:rPr>
        <w:t>E. 8</w:t>
      </w:r>
    </w:p>
    <w:p>
      <w:r>
        <w:t>Reste à se prononcer sur le degré d’invalidité de la recourante. a) En vertu de l’art. 28 al. 2 LAI, l’assuré a droit à une rente entière s’il est invalide à 70% au moins, à un trois-quarts de rente s'il est invalide à 60% au moins, à une demi-rente s’il est invalide à 50% au moins, ou à un quart de rente s’il est invalide à 40% au moins. Lorsque l’assuré exerce une activité lucrative à temps partiel, l’invalidité est déterminée selon la méthode mixte. L'invalidité de ces assurés est, pour la part</w:t>
      </w:r>
    </w:p>
    <w:p>
      <w:r>
        <w:t>A/1681/2013 - 10/11 - consacrée à l’activité lucrative, évaluée selon la méthode ordinaire de comparaison des revenus. Pour la part consacrée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b) En l’espèce, la recourante a travaillé durant 7 heures par semaine avant d’être en arrêt de travail, de sorte qu’elle présente un statut mixte. Il appert de ce qui précède que sa capacité de travail est entière dans toutes les activités lucratives, de sorte que le degré d’invalidité est nul pour la part consacrée à l’activité lucrative. Pour la part consacrée aux travaux habituels, la recourante n’a jamais allégué ne pas être en mesure d’effectuer ses travaux ménagers d’une part, et il résulte de l’expertise que les tâches ménagères étaient partagées entre la recourante et son époux d’autre part. Dès lors, il apparaît, au degré de la vraisemblance prépondérante prévu par la jurisprudence, qu’il n’y a pas d’empêchement à accomplir les activités ménagères, ce d’autant plus que seuls les deux derniers enfants de la recourante, qui ont 14 et 18 ans, vivent au domicile conjugal. Le degré d’invalidité de la recourante est ainsi nul.</w:t>
      </w:r>
    </w:p>
    <w:p>
      <w:r>
        <w:rPr>
          <w:b/>
        </w:rPr>
        <w:t>E. 9</w:t>
      </w:r>
    </w:p>
    <w:p>
      <w:r>
        <w:t>Par conséquent, le recours est rejeté. La recourante étant au bénéfice de l’assistance juridique, elle est dispensée de verser un émolument (art. 13 al. 1 du règlement sur les frais, émoluments et indemnités en procédure administrative du 30 juillet 1986 – RFPA ; E 5 10.03).</w:t>
      </w:r>
    </w:p>
    <w:p>
      <w:r>
        <w:t>A/1681/2013 - 11/11 -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