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ATAS/84/2013 vom 30. Januar 2013</w:t>
      </w:r>
    </w:p>
    <w:p>
      <w:r>
        <w:t>GE Cour de justice, 2013-01-30, FR</w:t>
      </w:r>
    </w:p>
    <w:p>
      <w:r>
        <w:rPr>
          <w:b/>
        </w:rPr>
        <w:t xml:space="preserve">Quelle: </w:t>
      </w:r>
      <w:r>
        <w:t>https://mcp.opencaselaw.ch/entscheid/ge_gerichte_ATAS_84_2013</w:t>
      </w:r>
    </w:p>
    <w:p>
      <w:r>
        <w:t>FR: GE_GERICHTE ATAS/84/2013 du 30 janvier 2013</w:t>
      </w:r>
    </w:p>
    <w:p>
      <w:r>
        <w:t>IT: GE_GERICHTE ATAS/84/2013 del 30 gennaio 2013</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L'objet du litige porte sur le droit du recourant à des indemnités de chômage, plus particulièrement sur le point de savoir s'il est libéré des exigences relatives à la période de cotisation.</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w:t>
      </w:r>
    </w:p>
    <w:p>
      <w:r>
        <w:t>A/906/2012 - 6/8 -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Il y a lieu de souligner que l'art 14 al. 1er LACI suppose qu'un lien de causalité existe entre les motifs de libération et l'impossibilité de remplir les conditions relatives à la période de cotisation. Pour que la causalité soit réellement établie, l'empêchement devra avoir duré en tout plus de douze mois. Dans le cas contraire, il reste assez de temps à l'assuré durant le délai-cadre de deux ans pour exercer une activité soumise à cotisation suffisante (ATF 121 V 336 consid. 5b). Le Tribunal fédéral a précisé que cette réglementation est applicable même dans les cas limites, soit lorsque l'assuré a travaillé 11,9 mois et n'a pas été malade plus de douze mois (DTA 2004 n°26 p. 269 consid. 3). La libération des conditions relatives à la période de cotisation prévue à l'art. 14 LACI est subsidiaire à la période de cotisation de l'art. 13 LACI, la première de ces dispositions ne s'appliquant que lorsque les conditions de la seconde ne sont pas réunies (ATFA non publié C 45/06 du 22 janvier 2007, consid. 3.3). Il n'y a dès lors pas de cumul possible entre les périodes de cotisation et il n'est pas admissible de combler des périodes de cotisation manquantes par des périodes de libération des conditions relatives à la période de cotisation ou inversément (Thomas NUSSBAUMER, Arbeitslosenversicherung, in Schweizerisches Bundesverwaltungsrecht [SBVR], Soziale Sicherheit, 2ème éd. 2007, n. 254 p. 2256). Il sied de rappeler que selon la jurisprudence, la loi s'interprète en premier lieu selon sa lettre (interprétation littérale). Si le texte n'est pas absolument clair, si</w:t>
      </w:r>
    </w:p>
    <w:p>
      <w:r>
        <w:t>A/906/2012 - 7/8 -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(ATF 131 II 562 consid. 3.5). En l'espèce, le texte de la loi est sans équivoque et la législation opère une distinction claire entre l'assuré qui a été partie à un rapport de travail durant le délai-cadre de cotisation et celui qui ne l'était pas. Comme le confirment la jurisprudence et la doctrine exposées, une interprétation différente des dispositions topiques n'a pas lieu d'être. Partant, contrairement à ce qu'allègue le recourant, le fait que son accident ait entraîné une incapacité de travail durant plus de douze mois n'est pas suffisant et ne permet pas de s'écarter de la lettre claire de la loi. La maladie, l'accident ou la maternité en tant que motifs de libération ne peuvent en effet valablement être invoqués que s'ils apparaissent hors d'un contrat de travail (Boris RUBIN, Assurance-chômage, Droit fédéral, Survol des mesures cantonales, Procédure, 2ème éd., Zurich 2006, n° 3.8.8.2.1, p. 190). La situation du recourant est similaire à celle d'un assuré qui durant le délai-cadre de cotisation aurait travaillé un peu plus de six mois avant d'être licencié et aurait par la suite subi une incapacité de travail de six mois, et qui n'aurait pas droit à des prestations de l'assurance-chômage conformément aux dispositions légales. Par ailleurs, on ne peut suivre le recourant lorsqu'il affirme que la décision le pénalise parce qu'il a payé des cotisations sur le salaire réalisé de juin à décembre 2010. En effet, ce n'est pas le fait de verser des cotisations qui est déterminant pour analyser le droit aux prestations d'un assuré en vertu de l'art. 13 al. 2 let. c LACI mais bien le fait d'avoir été partie à un contrat de travail. Eu égard à ce qui précède, la décision de l'intimée ne relève pas du formalisme excessif et est parfaitement conforme au droit.</w:t>
      </w:r>
    </w:p>
    <w:p>
      <w:r>
        <w:rPr>
          <w:b/>
        </w:rPr>
        <w:t>E. 7</w:t>
      </w:r>
    </w:p>
    <w:p>
      <w:r>
        <w:t>Mal fondé, le recours sera rejeté. Le recourant, qui succombe, n'a pas droit à des dépens (art. 61 let. g LPGA). Pour le surplus, la procédure est gratuite (art. 61 let. a LPGA).</w:t>
      </w:r>
    </w:p>
    <w:p>
      <w:r>
        <w:t>A/906/2012 - 8/8 -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