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ATAS/84/2012 vom 6. Februar 2012</w:t>
      </w:r>
    </w:p>
    <w:p>
      <w:r>
        <w:t>GE Cour de justice, 2012-02-06, FR</w:t>
      </w:r>
    </w:p>
    <w:p>
      <w:r>
        <w:rPr>
          <w:b/>
        </w:rPr>
        <w:t xml:space="preserve">Quelle: </w:t>
      </w:r>
      <w:r>
        <w:t>https://mcp.opencaselaw.ch/entscheid/ge_gerichte_ATAS_84_2012</w:t>
      </w:r>
    </w:p>
    <w:p>
      <w:r>
        <w:t>FR: GE_GERICHTE ATAS/84/2012 du 6 février 2012</w:t>
      </w:r>
    </w:p>
    <w:p>
      <w:r>
        <w:t>IT: GE_GERICHTE ATAS/84/2012 del 6 febbraio 2012</w:t>
      </w:r>
    </w:p>
    <w:p>
      <w:pPr>
        <w:pStyle w:val="Heading2"/>
      </w:pPr>
      <w:r>
        <w:t>Erwägungen</w:t>
      </w:r>
    </w:p>
    <w:p>
      <w:r>
        <w:rPr>
          <w:b/>
        </w:rPr>
        <w:t>E. 1</w:t>
      </w:r>
    </w:p>
    <w:p>
      <w:r>
        <w:t>La Cour de céans a déjà examiné les questions de sa compétence et de la recevabilité du recours dans son ordonnance du 25 juillet 2011, de sorte qu’il n’y a pas lieu d’y revenir ici.</w:t>
      </w:r>
    </w:p>
    <w:p>
      <w:r>
        <w:rPr>
          <w:b/>
        </w:rPr>
        <w:t>E. 2</w:t>
      </w:r>
    </w:p>
    <w:p>
      <w:r>
        <w:t>Il n’est pas contesté que la recourante a droit à une rente entière de l’assurance- invalidité du 1er avril 2008 au 28 février 2009. Le litige porte sur le point de savoir si l’invalidité de la recourante s’est modifiée de telle manière à supprimer son droit à une rente à compter du 1er mars 2009.</w:t>
      </w:r>
    </w:p>
    <w:p>
      <w:r>
        <w:rPr>
          <w:b/>
        </w:rPr>
        <w:t>E. 3</w:t>
      </w:r>
    </w:p>
    <w:p>
      <w:r>
        <w:t>Selon la jurisprudence, une décision par laquelle l'assurance-invalidité accorde une rente d'invalidité avec effet rétroactif et, en même temps, prévoit la réduction ou l'augmentation de cette rente, correspond à une décision de révision au sens de l'art. 17 LPGA (ATF 125 V 417 ss. consid. 2d et les références; VSI 2001 p. 157 consid. 2). Selon cette disposition,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w:t>
      </w:r>
    </w:p>
    <w:p>
      <w:r>
        <w:rPr>
          <w:b/>
        </w:rPr>
        <w:t>E. 4</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C'est le lieu de rappeler l'obligation pour l'assuré de diminuer le dommage, principe général du droit des assurances sociales (ATF 129 V 463 consid. 4.2, 123 V 233 consid. 3c, 117 V 278 consid. 2b, 400 et les références citées). Il en résulte que le juge ne peut pas se fonder simplement sur le travail que l'assuré a fourni ou s'estime lui-même capable de fournir depuis le début de son incapacité de travail, ceci pour éviter que le</w:t>
      </w:r>
    </w:p>
    <w:p>
      <w:r>
        <w:t>A/3188/2010 - 11/18 - recourant soit tenté d'influencer à son profit, le degré de son invalidité (ATF 106 V 86 consid. 2 p. 87).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w:t>
      </w:r>
    </w:p>
    <w:p>
      <w:r>
        <w:t>A/3188/2010 - 12/18 - exprimées, qu'il ait été établi en pleine connaissance du dossier (anamnèse), que la description des interférences médicales soit claire et enfin que les conclusions de l'expert soient bien motivées (ATF 125 V 352 ss consid. 3). Sans remettre en cause le principe de la libre appréciation des preuves, le Tribunal fédéral des assurances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6</w:t>
      </w:r>
    </w:p>
    <w:p>
      <w:r>
        <w:t>En l’occurrence, la Cour de céans a mandaté le Dr N___________, spécialiste FMH en psychiatrie et psychothérapie, qui a rendu un rapport le 19 octobre 2011. Ce médecin a diagnostiqué un trouble psychique incluant un épisode dépressif léger à moyen sans syndrome somatique (F32.10) et un trouble anxieux correspondant à une agoraphobie avec trouble panique (F40.01) de gravité modérée, c’est-à-dire faible à moyenne. La recourante présentait ces diagnostics depuis août 2007 et ils étaient documentés tels qu’ils se présentent actuellement depuis février 2008. L’expert a expliqué que ce trouble psychique a des répercussions fonctionnelles, sous la forme d’une diminution de rendement de l’ordre de 25% depuis février</w:t>
      </w:r>
    </w:p>
    <w:p>
      <w:r>
        <w:t>A/3188/2010 - 13/18 - 2008 et qu’il n’y avait pas d’évidence qu’elle ait changé depuis lors. Un traitement adéquat était en place et une amélioration n’était probablement pas possible, du moins à court terme. La Cour de céans constate que l’expertise du Dr N___________ repose sur un examen de la recourante effectué les 3 août et 7 septembre 2011, l’étude du dossier médical, une analyse de laboratoire du 14 septembre 2011 et des renseignements pris auprès du Dr B___________. L’anamnèse est détaillée et les plaintes de la recourante ont été prises en considération. L’expertise est en outre très bien motivée puisqu’elle explique pourquoi l’expert a retenu les diagnostics précités et les répercussions qu’ils ont sur le rendement de la recourante. Ses conclusions sont ainsi dûment motivées. Il y a donc lieu de reconnaître une valeur probante entière à ce rapport d’expertise. Il convient encore d’examiner si d’autres spécialistes ont émis des opinions contraires aptes à mettre en doute l’appréciation de l’expert. Le Dr B___________ a certes retenu un trouble dépressif récurrent sévère dans son rapport du 8 novembre 2010. L’expert a cependant expliqué, de manière convaincante, que ce diagnostic se justifierait si des épisodes dépressifs distincts, séparés par des périodes de rémission complète de la dépression, s’étaient produits depuis le début des troubles. Or, cela n’était pas documenté. S’agissant de la gravité de la dépression, l’expert a relevé que l’épisode dépressif était resté modéré. A ce sujet, il a précisé qu’il n’y avait pas d’altération de l’état général, pas d’auto- négligence objective, pas de culpabilité irrationnelle, pas d’idéation suicidaire ou d’autres manifestations objectives d’une dépression sévère et durable. L’état clinique observé par l’expert paraissait très proche de ce qui avait été décrit successivement de 2008 à 2010 par les psychiatres qui avaient examiné la recourante. Au vu de ces explications, la Cour de céans est d’avis que l’expertise du Dr N___________ infirme, de manière convaincante, l’appréciation du Dr B___________. Le Dr L___________ a estimé, quant à lui, contrairement au Dr N___________, que les troubles psychiques présentés par la recourante n’entraînent aucune répercussion sur sa capacité de travail (rapport du 29 octobre 2009). On rappellera que la Cour de céans a jugé, dans son ordonnance d’expertise du 25 juillet 2011, que s’agissant du volet psychiatrique de ce rapport, qu’il ne remplissait pas les critères jurisprudentiels relatifs à la valeur probante d’une expertise. Au demeurant, vu les explications convaincantes fournies par le Dr N___________ quant aux limitations fonctionnelles des troubles psychiques sur le rendement de la recourante - diminution de l’énergie disponible pour les activités quotidiennes et professionnelles et diminution des capacités motivationnelles pour mobiliser ladite énergie -, on ne saurait écarter les conclusions de l’expert judiciaire, ce d’autant</w:t>
      </w:r>
    </w:p>
    <w:p>
      <w:r>
        <w:t>A/3188/2010 - 14/18 - plus que le Dr L___________ a également constaté une énergie vitale légèrement réduite (page 14 du rapport). Il apparaît ainsi qu’il n’existe aucune circonstance bien établie, susceptible d’ébranler sérieusement la crédibilité des conclusions du Dr N___________. Compte tenu de ce qui précède, il y a lieu de retenir que la recourante présentait, en raison des atteintes physiques, une capacité de travail nulle du 21 avril 2007 au 30 novembre 2008, date à partir de laquelle sa capacité de travail est devenue totale dans une activité adaptée, avec une baisse de rendement de 25% pour les troubles psychiques. Reste encore à examiner le degré d’invalidité que présente la recourante compte tenu de l’amélioration de sa capacité de gain dès le 1er décembre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w:t>
      </w:r>
    </w:p>
    <w:p>
      <w:r>
        <w:t>A/3188/2010 - 15/18 -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Selon l'art. 88a al. 1 RAI, dans sa teneur en vigueur depuis le 1er mars 2004, si la capacité de gain ou la capacité d'accomplir les travaux habituels d'un assuré s'améliore ou que son impotence ou le besoin de soins découlant de l'invalidité s'atténue, il y a lieu de considérer que ce changement supprime, le cas échéant, tout</w:t>
      </w:r>
    </w:p>
    <w:p>
      <w:r>
        <w:t>A/3188/2010 - 16/18 -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8</w:t>
      </w:r>
    </w:p>
    <w:p>
      <w:r>
        <w:t>En l’occurrence, en raison de ses troubles physiques et psychiques, la recourante présente des limitations importantes qui ont entraîné une incapacité de travail totale du 21 avril 2007 au 30 novembre 2008, date à partir de laquelle sa capacité de travail est totale dans une activité adaptée - activité physique légère à moyenne, port de charges limité à 10kg, alternance de positions, pas de mouvement répétitif de la colonne cervicale en flexion, extension et rotation - avec une baisse de rendement de 25%. L’intimé a considéré, au vu de la situation professionnelle de la recourante - gérante d’un restaurant en tant qu’indépendante pendant environ sept ans, au chômage dès fin 2006 et travaillant en tant qu’auxiliaire dans un établissement médico-social au moment de son atteinte à la santé (en avril 2007) - qu’il était malaisé de définir quelle activité la recourante aurait exercé sans atteinte à la santé. En conséquence, il a déterminé les revenus sans invalidité et avec invalidité en se référant aux statistiques (ESS, TA1, niveau 4) représentatifs d’une grande variété d’emplois ne nécessitant pas de qualifications professionnelles particulières. La Cour de céans est d’avis, qu’au vu des circonstances professionnelles particulières, cette manière de procéder ne prête pas le flanc à la critique. Au demeurant, la recourante ne la conteste pas. Lorsque le revenu avec et sans invalidité sont basés sur la même tabelle statistique, il n’y a pas lieu de les chiffrer avec exactitude. Le degré d’invalidité se confond alors avec celui de l’incapacité de travail, sous réserve d’une éventuelle réduction du salaire statistique. En l’occurrence, l'abattement de 10% auquel a procédé l'intimé sur le salaire statistique dans le calcul du revenu d'invalide apparaît adéquat, compte tenu des deux critères que présente la recourante, à savoir qu’elle était âgée de 53 ans au moment de la décision litigieuse et qu’elle subit des limitations fonctionnelles dans les activités légères et moyennes (port de charges limité à 10 kg, alternance de positions, pas de mouvement répétitif de la colonne cervicale en flexion, extension et rotation). Aucun élément ne permet de retenir que la recourante remplirait d’autres critères personnels ou professionnels prévus par la jurisprudence et, au demeurant, la recourante ne le prétend pas non plus. Compte tenu de ce qui précède, le degré d'invalidité que présente la recourante dès l’amélioration de sa capacité de gain est de 35 % (25% de baisse de rendement auquel s’ajoute 10% d’abattement), soit un taux inférieur à la limite de 40 % ouvrant droit à une rente.</w:t>
      </w:r>
    </w:p>
    <w:p>
      <w:r>
        <w:t>A/3188/2010 - 17/18 - C’est dès lors à bon droit que l’intimé a limité le droit à la rente entière au 28 février 2009, soit trois mois après l’amélioration de la capacité de gain de la recourante (1er décembre 2008).</w:t>
      </w:r>
    </w:p>
    <w:p>
      <w:r>
        <w:rPr>
          <w:b/>
        </w:rPr>
        <w:t>E. 9</w:t>
      </w:r>
    </w:p>
    <w:p>
      <w:r>
        <w:t>Le recours est dès lors mal fondé. Étant donné que depuis le 1er juillet 2006, la procédure n'est plus gratuite (art. 69 al. 1bis LAI), il y a lieu de condamner la recourante au paiement d'un émolument de 200 fr.</w:t>
      </w:r>
    </w:p>
    <w:p>
      <w:r>
        <w:t>A/3188/2010 - 18/18 -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