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ATAS/84/2008 vom 29. Januar 2008</w:t>
      </w:r>
    </w:p>
    <w:p>
      <w:r>
        <w:t>GE Cour de justice, 2008-01-29, FR</w:t>
      </w:r>
    </w:p>
    <w:p>
      <w:r>
        <w:rPr>
          <w:b/>
        </w:rPr>
        <w:t xml:space="preserve">Quelle: </w:t>
      </w:r>
      <w:r>
        <w:t>https://mcp.opencaselaw.ch/entscheid/ge_gerichte_ATAS_84_2008</w:t>
      </w:r>
    </w:p>
    <w:p>
      <w:r>
        <w:t>FR: GE_GERICHTE ATAS/84/2008 du 29 janvier 2008</w:t>
      </w:r>
    </w:p>
    <w:p>
      <w:r>
        <w:t>IT: GE_GERICHTE ATAS/84/2008 del 29 gennaio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procédure porte tant sur une période antérieure à l'entrée en vigueur de la LPGA que sur une période postérieure. En vertu du principe général de droit transitoire selon lequel - même en cas de changement de bases légales - les règles applicables sont celles en vigueur au</w:t>
      </w:r>
    </w:p>
    <w:p>
      <w:r>
        <w:t>A/1483/2002 - 8/15 - moment où les faits juridiquement déterminants se sont produits, il y a lieu d'examiner le droit à des prestations au regard de l'ancien droit pour la période jusqu'au 31 décembre 2002 et en fonction de la nouvelle réglementation légale après cette date (ATF 130 V 455 et les références). La question ne revêt toutefois pas une grande importance car les principes développés jusqu'à ce jour par la jurisprudence en matière d'assurance-invalidité conservent, en règle générale, leur validité sous l'empire de la LPGA (ATF 130 V 345 consid. 3).</w:t>
      </w:r>
    </w:p>
    <w:p>
      <w:r>
        <w:rPr>
          <w:b/>
        </w:rPr>
        <w:t>E. 3</w:t>
      </w:r>
    </w:p>
    <w:p>
      <w:r>
        <w:t>Le recours, interjeté dans les formes et délais prévus par la loi, est recevable (art. 56 à 60 LPGA).</w:t>
      </w:r>
    </w:p>
    <w:p>
      <w:r>
        <w:rPr>
          <w:b/>
        </w:rPr>
        <w:t>E. 4</w:t>
      </w:r>
    </w:p>
    <w:p>
      <w:r>
        <w:t>La question litigieuse est de savoir si le recourant souffre ou non d'une maladie invalidante annulant sa capacité de travail, si oui depuis quand et quelles prétentions d'assurance invalidité en découle, le cas échéant.</w:t>
      </w:r>
    </w:p>
    <w:p>
      <w:r>
        <w:rPr>
          <w:b/>
        </w:rPr>
        <w:t>E. 5</w:t>
      </w:r>
    </w:p>
    <w:p>
      <w:r>
        <w:t>Se pose préalablement la question de l'appréciation des preuves et de la valeur probante des documents figurant au dossier. À ce sujet, on rappellera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A/1483/2002 - 9/15 - En l'espèce, figurent au dossier les expertises du CEMED (du type COMAI), du Dr C________ et du Dr F________. S'agissant de la première, sa valeur probante ne fait pas de doute, et n'est d'ailleurs pas contestée. La seconde ne revêt pas une pleine valeur probante car elle n'est pas complète et ne porte en particulier pas sur l'évaluation de la capacité de travail du recourant. Plutôt qu'une expertise, il s'agit en réalité d'un éclairage sous l'angle culturel, qui vient compléter le dossier. À noter que les diagnostics retenus dans cette analyse sont exactement les mêmes que ceux retenus par le CEMED. S'agissant de l'expertise du Dr F________, sa valeur probante paraît évidente au Tribunal. Non seulement elle comporte les éléments jurisprudentiels cités plus haut, mais l'expert se montre clair et convaincant. Il explique pourquoi il s'écarte de certains diagnostics ou de certains avis. Il renseigne le Tribunal sur tous les points importants. Tel n'est pas l'avis de l'OCAI, par la bouche du SMR, pour des motifs pour le moins étonnants qui sont le fait que l'expert ne s'est pas adjoint les services d'un interprète d'une part, et que d'autre part il ne serait pas neutre au motif que l'épouse du recourant était présente. On peut tout d'abord s'étonner de la soudaine inquiétude de l'OCAI pour la défense des intérêts du recourant. Cela étant on rappellera les règles jurisprudentielles s'agissant des interprètes: lorsqu'un assuré qui doit se soumettre à une expertise demande à l'office compétent de désigner un centre d'observation médicale où l'on s'exprime dans l'une des langues officielles de la Confédération qu'il maîtrise, il y a lieu, en principe, de donner suite à sa requête, à moins que des raisons objectives justifient une exception. S'il n'est pas donné suite à cette demande, l'assuré a le droit non seulement d'être assisté par un interprète lors des examens médicaux, mais encore d'obtenir gratuitement une traduction du rapport d'expertise (ATF 127 V 226-227 consid. 2b/bb). Ainsi donc, l'assuré dispose d'un droit -relatif- à la présence d'un interprète, qu'il doit toutefois solliciter. Or, s'il est exact que le recourant est illettré, il est faux d'en déduire qu'il ne comprend pas notre langue, confusion pour le moins fâcheuse. Le recourant n'ayant pas émis le désir d'être assisté d'un interprète, le Dr F________ n'avait pas à s'en préoccuper. À noter par surabondance de moyens que cet argument est soulevé pour la première fois, et que les autres expertises d'examens n'ont pas non plus été effectuées en présence d'un interprète. Quant à la présence de l'épouse du recourant, rien ne s'y oppose, et seul le recourant aurait pu s'y opposer. Là encore l'OCAI commet une confusion car la neutralité doit s'attacher à l'expert, et l'on ne voit pas en quoi la présence de l'épouse serait de nature à entacher celle-ci. On rappellera que l'expert bénéficie d'une présomption d'impartialité, et qu'un expert passe pour prévenu lorsqu'il existe des circonstances propres à faire naître un doute sur son impartialité, la méfiance à l'égard de l'expert devant apparaître comme fondée sur des éléments objectifs (cf. ATF du 27 août 2004 I 752/03, ATF du 8 septembre 2000, U 291/99 et références citées). Vu ce qui précède, le Tribunal constate qu'il y a lieu de se fonder sur l'expertise psychiatrique du Dr F________. En effet, le juge ne s'écarte en principe pas sans</w:t>
      </w:r>
    </w:p>
    <w:p>
      <w:r>
        <w:t>A/1483/2002 - 10/15 -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La question à résoudre est maintenant celle de l'existence d'une maladie invalidante entraînant l'absence de toute capacité de travail, comme l'a retenu l'expert. Les diagnostics retenus sont un syndrome douloureux somatoforme persistant, un syndrome de dépendance à l'alcool, actuellement abstinent et un épisode dépressif moyen.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Parmi les atteintes à la santé psychique, qui peuvent, comme les atteintes physiques, provoquer une invalidité au sens de l'art. 4 al. 1 LAI en liaison avec l'art.</w:t>
      </w:r>
    </w:p>
    <w:p>
      <w:r>
        <w:rPr>
          <w:b/>
        </w:rPr>
        <w:t>E. 8</w:t>
      </w:r>
    </w:p>
    <w:p>
      <w:r>
        <w:t>Au vu des conclusions de l'expert, la capacité de travail du recourant est nulle depuis le courant de l'année 1999 (avril 1999 selon pièces au dossier) et encore nulle à ce jour. Le pronostic est défavorable, les chances de succès d'une réadaptation professionnelle sont aujourd'hui nulles, mais l'expert encourage le projet d'une activité en atelier protégé, et suggère une réévaluation de la capacité de travail ultérieurement. Par conséquent, le recourant doit être mis au bénéfice d'une rente entière d'invalidité, avec effet au 1er avril 2000 puisque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Par ailleurs,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(ATF 124 V 269 consid. 4 et les références; VSI 2000 p. 300 consid. 4; RCC 1980 p. 252; ZAK 1980 p. 270). Une réadaptation proprement dite est vouée à l'échec en l'occurrence, mais l'OCAI devra accompagner le recourant dans sa démarche visant l'intégration d'un atelier protégé. De même, l'OCAI devra prévoir la révision du dossier à moyen terme.</w:t>
      </w:r>
    </w:p>
    <w:p>
      <w:r>
        <w:rPr>
          <w:b/>
        </w:rPr>
        <w:t>E. 9</w:t>
      </w:r>
    </w:p>
    <w:p>
      <w:r>
        <w:t>En conclusion, les décisions litigieuses, des 26 et 27 février 2002 d'une part et du 7 avril 2005 et 21 avril 2006 d'autre part, sont annulées. Le recourant, qui obtient gain de cause, a droit à des dépens. La juridiction fixe le montant des dépens en fonction du nombre et de la pertinence des écritures, de la complexité de l'affaire, du nombre d'audiences et d'actes d'instruction. Les dépens sont en principe fixés entre 500 fr. et 3000 fr. En cas d'affaire particulièrement complexe ou une longue le montant des</w:t>
      </w:r>
    </w:p>
    <w:p>
      <w:r>
        <w:t>A/1483/2002 - 14/15 - dépens peut-être augmenté. Tel est le cas en l'espèce puisse que deux procédures ont été jointes, plusieurs audiences ont eu lieu, plusieurs échanges d'écritures, que l'affaire est particulièrement complexe et les écritures du recourant parfaitement pertinentes. Par conséquent, le montant des dépens est fixé en l'espèce à 4'500 fr. Il est en revanche renoncé à tout émolument, qui serait exigible pour la deuxième cause uniquement, mais qui a été jointe à la précédente sur la base d'un accord de procédure avec l'OCAI.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