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ATAS/849/2023 vom 7. November 2023</w:t>
      </w:r>
    </w:p>
    <w:p>
      <w:r>
        <w:t>GE Cour de justice, 2023-11-07, FR</w:t>
      </w:r>
    </w:p>
    <w:p>
      <w:r>
        <w:rPr>
          <w:b/>
        </w:rPr>
        <w:t xml:space="preserve">Quelle: </w:t>
      </w:r>
      <w:r>
        <w:t>https://mcp.opencaselaw.ch/entscheid/ge_gerichte_ATAS_849_2023</w:t>
      </w:r>
    </w:p>
    <w:p>
      <w:r>
        <w:t>FR: GE_GERICHTE ATAS/849/2023 du 7 novembre 2023</w:t>
      </w:r>
    </w:p>
    <w:p>
      <w:r>
        <w:t>IT: GE_GERICHTE ATAS/849/2023 del 7 novembre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les accidents concernés par la présente procédure sont survenus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ainsi citées ci-après dans leur teneur en vigueur à compter du 1er janvier 2017.</w:t>
      </w:r>
    </w:p>
    <w:p>
      <w:r>
        <w:rPr>
          <w:b/>
        </w:rPr>
        <w:t>E. 4</w:t>
      </w:r>
    </w:p>
    <w:p>
      <w:r>
        <w:t>Le délai de recours est de trente jours (art. 56 LPGA ; art. 62 al. 1 de la loi sur la procédure administrative du 12 septembre 1985 [LPA - E 5 10]). Interjeté dans la forme et le délai prévus par la loi, compte tenu du fait que le 19 juin 2022 était un dimanche et que le délai s'en trouve reporté au premier jour ouvrable qui suit (cf. art. 38 al. 3 LPGA), le recours est recevable.</w:t>
      </w:r>
    </w:p>
    <w:p>
      <w:r>
        <w:rPr>
          <w:b/>
        </w:rPr>
        <w:t>E. 5</w:t>
      </w:r>
    </w:p>
    <w:p>
      <w:r>
        <w:t>Le litige porte sur le taux de la rente d'invalidité en faveur du recourant, étant précisé qu'il s'agit d'une rente transitoire, et celui de l'IPAI.</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w:t>
      </w:r>
    </w:p>
    <w:p>
      <w:r>
        <w:t>A/2018/2022 - 10/30 - compromet la santé physique, mentale ou psychique ou qui entraîne la mort (art. 4 LPGA ; ATF 142 V 219 consid. 4.3.1 et les références).</w:t>
      </w:r>
    </w:p>
    <w:p>
      <w:r>
        <w:rPr>
          <w:b/>
        </w:rPr>
        <w:t>E. 6.2</w:t>
      </w:r>
    </w:p>
    <w:p>
      <w:r>
        <w:t>.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7</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8.1</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(dans sa teneur en vigueur dès le 1er janvier 2021),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8.2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w:t>
      </w:r>
    </w:p>
    <w:p>
      <w:r>
        <w:t>A/2018/2022 - 11/30 - références ; arrêt du Tribunal fédéral 8C_39/2020 du 19 juin 2020 consid. 3.2 et les références).</w:t>
      </w:r>
    </w:p>
    <w:p>
      <w:r>
        <w:rPr>
          <w:b/>
        </w:rPr>
        <w:t>E. 8.3</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283).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 Dans l'ATF 116 V 246, le Tribunal fédéral a estimé que la rente transitoire fondée sur l'art. 30 OLAA doit être fixée d'après la méthode générale de comparaison des revenus. Toutefois, l'évaluation de l'invalidité intervient dans ce cas avant l'exécution éventuelle de mesures de réadaptation. Seule entre en considération, à cette date, l'activité qui peut raisonnablement être exigée de la part d'un assuré non encore réadapté, compte tenu de la situation équilibrée du marché du travail. Dans un arrêt du 15 octobre 2014 (8C_347/2014 consid. 4.2.3), la Haute Cour, commentant l'arrêt publié précité, a indiqué qu'elle avait admis une dérogation à la comparaison ordinaire des revenus, dans le cas d'un assuré dont on pouvait supposer, au vu des circonstances, qu'il pourrait conserver une emploi auprès de</w:t>
      </w:r>
    </w:p>
    <w:p>
      <w:r>
        <w:t>A/2018/2022 - 12/30 - son ancien employeur grâce aux mesures de réadaptation prévues par l'assurance- invalidité, car il ne pouvait être exigé de lui qu'il change d'emploi avant la fin de ces mesures ; il fallait alors fixer provisoirement le degré d'invalidité de l'assuré en fonction de la capacité de travail auprès de l'ancien employeur ; tel n'était pas le cas dans l'affaire qui était alors soumise au Tribunal fédéral, l'assuré ayant perdu le poste qu'il occupait peu après l'accident, de sorte qu'il n'existait aucun indice d'une réintégration même approximativement aussi stable et prometteuse que celle qui était à la base de l'ATF 116 V 246. Récemment, le Tribunal fédéral a jugé que l'activité raisonnablement exigible ne correspond pas (forcément) à l'activité habituelle, à tout le moins pas dans les cas où l'ancienne activité n'est plus exigible, indépendamment de la mise en œuvre de mesures de réadaptation (arrêts du Tribunal fédéral 8C_99/2023 du 7 août 2023 consid. 4.2).</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9.2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 128 V 174).</w:t>
      </w:r>
    </w:p>
    <w:p>
      <w:r>
        <w:rPr>
          <w:b/>
        </w:rPr>
        <w:t>E. 9.3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w:t>
      </w:r>
    </w:p>
    <w:p>
      <w:r>
        <w:t>A/2018/2022 - 13/30 -</w:t>
      </w:r>
    </w:p>
    <w:p>
      <w:r>
        <w:rPr>
          <w:b/>
        </w:rPr>
        <w:t>E. 9.4</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9.5</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w:t>
      </w:r>
    </w:p>
    <w:p>
      <w:r>
        <w:t>A/2018/2022 - 14/30 -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9.6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w:t>
      </w:r>
    </w:p>
    <w:p>
      <w:r>
        <w:t>A/2018/2022 - 15/30 -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w:t>
      </w:r>
    </w:p>
    <w:p>
      <w:r>
        <w:rPr>
          <w:b/>
        </w:rPr>
        <w:t>E. 9.7</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10</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w:t>
      </w:r>
    </w:p>
    <w:p>
      <w:r>
        <w:t>A/2018/2022 - 16/30 - consid. 4 et les références ;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 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w:t>
      </w:r>
    </w:p>
    <w:p>
      <w:r>
        <w:rPr>
          <w:b/>
        </w:rPr>
        <w:t>E. 11.1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w:t>
      </w:r>
    </w:p>
    <w:p>
      <w:r>
        <w:t>A/2018/2022 - 17/30 -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ATF 125 II 169 consid. 2d).</w:t>
      </w:r>
    </w:p>
    <w:p>
      <w:r>
        <w:rPr>
          <w:b/>
        </w:rPr>
        <w:t>E. 11.2</w:t>
      </w:r>
    </w:p>
    <w:p>
      <w:r>
        <w:t>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w:t>
      </w:r>
    </w:p>
    <w:p>
      <w:r>
        <w:rPr>
          <w:b/>
        </w:rPr>
        <w:t>E. 12</w:t>
      </w:r>
    </w:p>
    <w:p>
      <w:r>
        <w:t>Depuis le 1er janvier 2016, le montant maximum du gain assuré s’élève à CHF 148'200.- par an et CHF 406.- par jour (art. 22 al. 1 OLAA).</w:t>
      </w:r>
    </w:p>
    <w:p>
      <w:r>
        <w:t>A/2018/2022 - 18/30 -</w:t>
      </w:r>
    </w:p>
    <w:p>
      <w:r>
        <w:rPr>
          <w:b/>
        </w:rPr>
        <w:t>E. 13.1</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14.2</w:t>
      </w:r>
    </w:p>
    <w:p>
      <w:r>
        <w:t>Selon le principe de libre appréciation des preuves, pleinement valable en procédure judiciaire de recours dans le domaine des assurances sociales</w:t>
      </w:r>
    </w:p>
    <w:p>
      <w:r>
        <w:t>A/2018/2022 - 19/30 -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14.3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w:t>
      </w:r>
    </w:p>
    <w:p>
      <w:r>
        <w:t>A/2018/2022 - 20/30 -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14.4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16</w:t>
      </w:r>
    </w:p>
    <w:p>
      <w:r>
        <w:t>En l'espèce, le recourant sollicite, en premier lieu, l'annulation de la décision du</w:t>
      </w:r>
    </w:p>
    <w:p>
      <w:r>
        <w:rPr>
          <w:b/>
        </w:rPr>
        <w:t>E. 19</w:t>
      </w:r>
    </w:p>
    <w:p>
      <w:r>
        <w:t>Il convient à présent de déterminer si le calcul de l'invalidité opéré par l'intimée est correct.</w:t>
      </w:r>
    </w:p>
    <w:p>
      <w:r>
        <w:rPr>
          <w:b/>
        </w:rPr>
        <w:t>E. 19.1</w:t>
      </w:r>
    </w:p>
    <w:p>
      <w:r>
        <w:t>À cet égard, il sied de rappeler que la rente allouée par l'intimée est une rente transitoire de l'assurance-accident, au sens de l'art. 30 OLAA. Par conséquent, il</w:t>
      </w:r>
    </w:p>
    <w:p>
      <w:r>
        <w:t>A/2018/2022 - 27/30 - est nécessaire de déterminer de quelle manière doit être appliquée la méthode générale de comparaison des revenus, en particulier de dire si l'invalidité doit être fixée sur la base de l'incapacité de travail dans l'ancienne profession. La question paraît pertinente en l'occurrence puisque le recourant a maintenu une activité auprès de son ancienne employeuse, avec un cahier des charges modifié (cf. attestation de l'employeuse du 4 novembre 2022). Malgré la continuation d'une activité auprès de l'ancienne employeuse, il n'apparaît pas justifié de s'éloigner de la méthode générale de comparaison des revenus, dans la mesure où il ne résulte pas du dossier – et le recourant ne l'allègue pas – que les mesures de réadaptation devant être mises en place par l'OAI lui permettront de conserver son emploi auprès de son employeuse. L'OAI a en effet accordé une mesure d'orientation professionnelle en faveur du recourant, qui a été reportée à sa demande, et dont on ignore si elle a aujourd'hui été réalisée. Quoi qu'il en soit, l'orientation professionnelle, au sens de l'art. 15 al. 2 de la loi fédérale sur l’assurance-invalidité du 19 juin 1959 (LAI - RS 831.20) est une mesure de réadaptation d'ordre professionnel qui doit permettre aux personnes assurées qui ont déjà achevé une formation ou qui possèdent une longue expérience professionnelle de bénéficier d'un examen approfondi de professions possibles (Circulaire sur les mesures de réadaptation professionnelle de l’AI (CMRPr) de l'office fédéral des assurances sociales, état au 1er janvier 2023, n° 1002). L'objectif de la mesure est que les personnes assurées identifient des activités professionnelles qui correspondent à leur âge, leur niveau de développement, leurs aptitudes et leurs intérêts, et qu’elles sont en mesure de suivre (CMRPr, p. 95 ab initio). Cette mesure vise donc à ce que l'assuré soit en mesure de se déterminer au mieux dans le choix d'une nouvelle profession, et ne vise pas à sa réintégration auprès de l'ancien employeur. Il ne résulte pas non plus de l'attestation de l'employeuse du 4 novembre 2022 que le maintien du poste du recourant soit conditionné au succès des mesures de réadaptation et on peut au contraire conclure de cette attestation que celle-ci souhaite continuer d'offrir du travail à son employé en raison des longs rapports de service l'unissant à ce dernier et de ses compétences, malgré son handicap.</w:t>
      </w:r>
    </w:p>
    <w:p>
      <w:r>
        <w:rPr>
          <w:b/>
        </w:rPr>
        <w:t>E. 19.2</w:t>
      </w:r>
    </w:p>
    <w:p>
      <w:r>
        <w:t>Dans son recours, le recourant ne soutient plus expressément que le revenu avec invalidité devrait faire l'objet d'un abattement, grief qu'il avait soulevé dans son opposition. Cependant, le juge applique le droit d’office (Jean METRAL in Commentaire romand, Loi sur la partie générale des assurances sociales, 2018, n. 74 ad. art. 61 LPGA), et il n’est pas lié par les conclusions des parties (art. 61 let. d LPGA). Le point de savoir s'il y a lieu de procéder à un abattement sur le salaire statistique en raison de circonstances particulières (liées au handicap de la personne ou à d'autres facteurs) est par ailleurs une question de droit (ATF 142 V 178 consid. 2.5.9 ; 137 V 71 consid. 5.1). Il y donc lieu de vérifier si c'est à juste titre qu'aucun abattement n'a été accordé par l'intimée.</w:t>
      </w:r>
    </w:p>
    <w:p>
      <w:r>
        <w:t>A/2018/2022 - 28/30 -</w:t>
      </w:r>
    </w:p>
    <w:p>
      <w:r>
        <w:rPr>
          <w:b/>
        </w:rPr>
        <w:t>E. 19.2.1</w:t>
      </w:r>
    </w:p>
    <w:p>
      <w:r>
        <w:t>De jurisprudence constante, un abattement n'entre en considération que si, dans un marché du travail équilibré, il n'y a plus un éventail suffisamment large d'activités accessibles à l'assuré (arrêts du Tribunal fédéral 8C_659/2021 du 17 février 2022 consid. 4.3.1 ; 8C_122/2019 du 10 septembre 2019 consid. 4.3.1.4 ; 8C 174/2019 du 9 juillet 2019 consid. 5.2.2 et les arrêts cités). De plus, au regard des activités physiques ou manuelles simples que recouvrent les secteurs de la production et des services, un nombre suffisant d'entre elles correspondent à des travaux légers ne nécessitant pas le port régulier de charges ou de mouvement répétitif de flexion-extension, comme en particulier les activités de contrôle et de surveillance (8C_122/2019 du 10 septembre 2019 consid. 4.3.1.4). S'agissant d'atteintes au membre inférieur, dans un cas où la personne assurée devait alterner les positions assises et debout, éviter le port de charges supérieures à 10-15 kg de manière répétée, ne pas monter sur des échelles et ne pas se déplacer de manière prolongée, surtout en terrain irrégulier, le Tribunal fédéral a annulé le jugement cantonal ayant accordé un abattement de 15%, relevant que de telles limitations fonctionnelles n'étaient pas susceptibles d'influencer les perspectives salariales, au regard des activités physiques ou manuelles simples que recouvrent les secteurs de la production et des services (arrêt du Tribunal fédéral 8C_659/2021 du 17 février 2022 consid. 4). Dans un autre cas où la personne assurée se déplaçait en cannes anglaises, devait impérativement travailler en position assise avec la jambe droite allongée et ne pouvait transporter aucune charge, même minime, notre Haute Cour a confirmé un abattement de 10% (arrêt du Tribunal fédéral 8C_800/2015 du 7 juillet 2016 consid. 3.4).</w:t>
      </w:r>
    </w:p>
    <w:p>
      <w:r>
        <w:rPr>
          <w:b/>
        </w:rPr>
        <w:t>E. 19.2.2</w:t>
      </w:r>
    </w:p>
    <w:p>
      <w:r>
        <w:t>En l'occurrence, les limitations fonctionnelles du recourant, même en tenant compte de celles de la cuisse gauche et de celles listées par le Dr G______, sont les suivantes : s'agissant de l'épaule droite, pas de port au-dessus de la taille avec les bras en avant de charges supérieures à 15 kg (respectivement 10 kg selon le Dr G______), pas d'activité répétitive au-dessus de la tête, pas d'utilisation d'outils lourds et/ou vibratoires nécessitant d'être maniés avec les deux mains, pas de travaux nécessitant une force importante de serrage et, s'agissant de la cuisse gauche, pas de course rapide et montée répétitive d'échafaudages et/ou échelles avec des charges lourdes (selon la CRR), respectivement, pas de position assise plus de deux heures, alternance des positions assis/debout/marche, pas de trajet de plus de 1 km à la fois et de plus de 5 km par jour (selon le Dr G______). De telles limitations sont compatibles avec le marché équilibré du travail qui propose suffisamment de postes légers, permettant l'alternance des positions, et ne nécessitant pas de déplacements. Le cas n'apparaît en particulier pas similaire à celui de la personne assurée devant se déplacer avec des cannes anglaises et devant travailler avec la jambe étendue, qui avait justifié un abattement de 10%.</w:t>
      </w:r>
    </w:p>
    <w:p>
      <w:r>
        <w:rPr>
          <w:b/>
        </w:rPr>
        <w:t>E. 19.3</w:t>
      </w:r>
    </w:p>
    <w:p>
      <w:r>
        <w:t>Au surplus, le reste du calcul de l'invalidité du recourant opéré par l'intimée doit être approuvé.</w:t>
      </w:r>
    </w:p>
    <w:p>
      <w:r>
        <w:t>A/2018/2022 - 29/30 - L'activité lucrative que celui-ci a reprise auprès de son ancienne employeuse, pour autant qu'elle soit réellement adaptée à ses limitations fonctionnelles, ne met en effet pas pleinement à profit sa capacité de travail résiduelle car elle n'est exercée qu'à 50%, de sorte que le revenu avec invalidité doit bel et bien être fondé sur les statistiques de l'ESS. Par ailleurs, l'intimée a appliqué les bonnes données statistiques (tableau TA1_tirage_skill_level pour l'année 2018, celui de l'année 2020 n'ayant pas encore été publié lors du prononcé de la décision litigieuse, niveau de compétence 1), a procédé à une correcte indexation de ce salaire jusqu'à l'année 2021 et tenu compte de l'horaire normal de travail.</w:t>
      </w:r>
    </w:p>
    <w:p>
      <w:r>
        <w:rPr>
          <w:b/>
        </w:rPr>
        <w:t>E. 20</w:t>
      </w:r>
    </w:p>
    <w:p>
      <w:r>
        <w:t>Enfin, le recourant conteste le taux d'IPAI qui lui a été accordé (10%). Il ne fournit cependant aucune pièce médicale à l'appui de sa contestation et, sur une question essentiellement médicale, il n'y a aucune raison de s'éloigner de l'appréciation du médecin d'arrondissement, étant relevé que, comme déjà vu (cf. consid. 16), l'argument du recourant selon lequel ce médecin aurait omis la lésion des ischio-jambiers dans le cadre de l'analyse de l'IPAI est infondé. Au demeurant, le complément d'information fourni par le Dr F______ dans son appréciation médicale du 12 décembre 2022 expliquant pour quelles raisons l'atteinte au membre inférieur gauche n'est pas importante apparaît convaincante. Il sied en outre de souligner qu'une atteinte aux ischio-jambiers ne donne pas droit, ni selon l'annexe 3 de l'OLAA, ni selon la table 2 de la SUVA, à une indemnité. Quant à l'évaluation de l'atteinte à l'épaule droite, au vu du type d'atteinte durable dont souffre le recourant, il n'y a pas non plus de motifs de s'éloigner de l'appréciation du Dr F______. Il convient donc d'appliquer par analogie l'indemnité prévue en cas de périarthrite scapulo-humérale moyenne, laquelle se monte effectivement à 10% selon la table 1 de la SUVA. Le grief est ainsi infondé.</w:t>
      </w:r>
    </w:p>
    <w:p>
      <w:r>
        <w:rPr>
          <w:b/>
        </w:rPr>
        <w:t>E. 21</w:t>
      </w:r>
    </w:p>
    <w:p>
      <w:r>
        <w:t>Au vu de ce qui précède, le recours sera rejeté et la décision du 19 mai 2022 sera confirmée.</w:t>
      </w:r>
    </w:p>
    <w:p>
      <w:r>
        <w:rPr>
          <w:b/>
        </w:rPr>
        <w:t>E. 22</w:t>
      </w:r>
    </w:p>
    <w:p>
      <w:r>
        <w:t>Le recourant, qui succombe, n'a pas droit à des dépens (art. 61 let. g LPGA a contrario). L'intimée, représentée et qui obtient gain de cause, a conclu à l’octroi de dépens. Toutefois, étant une organisation chargée de tâches de droit public (ATF 112 V 44 consid. 3), et compte tenu du fait que le recours n'est ni téméraire ni ne témoigne de légèreté, elle n’a pas droit à des dépens (ATF 126 V 143 consid. 4).</w:t>
      </w:r>
    </w:p>
    <w:p>
      <w:r>
        <w:rPr>
          <w:b/>
        </w:rPr>
        <w:t>E. 23</w:t>
      </w:r>
    </w:p>
    <w:p>
      <w:r>
        <w:t>Pour le surplus, la procédure est gratuite (art. 61 let. fbis LPGA a contrario).</w:t>
      </w:r>
    </w:p>
    <w:p>
      <w:r>
        <w:t>A/2018/2022 - 30/30 -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