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ATAS/849/2022 vom 28. September 2022</w:t>
      </w:r>
    </w:p>
    <w:p>
      <w:r>
        <w:t>GE Cour de justice, 2022-09-28, FR</w:t>
      </w:r>
    </w:p>
    <w:p>
      <w:r>
        <w:rPr>
          <w:b/>
        </w:rPr>
        <w:t xml:space="preserve">Quelle: </w:t>
      </w:r>
      <w:r>
        <w:t>https://mcp.opencaselaw.ch/entscheid/ge_gerichte_ATAS_849_2022</w:t>
      </w:r>
    </w:p>
    <w:p>
      <w:r>
        <w:t>FR: GE_GERICHTE ATAS/849/2022 du 28 septembre 2022</w:t>
      </w:r>
    </w:p>
    <w:p>
      <w:r>
        <w:t>IT: GE_GERICHTE ATAS/849/2022 del 28 settembre 2022</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w:t>
      </w:r>
    </w:p>
    <w:p>
      <w:r>
        <w:t>A/3278/2021 - 6/16 - Sa compétence pour juger du cas d’espèce est ainsi établie.</w:t>
      </w:r>
    </w:p>
    <w:p>
      <w:r>
        <w:rPr>
          <w:b/>
        </w:rPr>
        <w:t>E. 2</w:t>
      </w:r>
    </w:p>
    <w:p>
      <w:r>
        <w:t>À teneur de l'art. 1 al. 1 LAA, les dispositions de la LPGA s'appliquent à l'assurance-accidents, à moins que la loi n'y déroge expressément</w:t>
      </w:r>
    </w:p>
    <w:p>
      <w:r>
        <w:rPr>
          <w:b/>
        </w:rPr>
        <w:t>E. 3</w:t>
      </w:r>
    </w:p>
    <w:p>
      <w:r>
        <w:t>Le délai de recours est de trente jours (art. 56 LPGA ; art. 62 al. 1 de la loi sur la procédure administrative du 12 septembre 1985 [LPA - E 5 10]). Interjeté dans la forme et le délai prévus par la loi, le recours est recevable.</w:t>
      </w:r>
    </w:p>
    <w:p>
      <w:r>
        <w:rPr>
          <w:b/>
        </w:rPr>
        <w:t>E. 4</w:t>
      </w:r>
    </w:p>
    <w:p>
      <w:r>
        <w:t>Le litige porte sur le point de savoir si c’est à bon droit que l’intimée a octroyé au recourant une rente d’invalidité de 17 % ainsi qu’une IPAI de 28 %. Sont litigieux en particulier les revenus sans et avec invalidité retenus par l’intimée et la réduction de l’IPAI.</w:t>
      </w:r>
    </w:p>
    <w:p>
      <w:r>
        <w:rPr>
          <w:b/>
        </w:rPr>
        <w:t>E. 5</w:t>
      </w:r>
    </w:p>
    <w:p>
      <w:r>
        <w:t>Selon l'art. 6 al. 1 LAA, les prestations d'assurance sont allouées en cas d'accident professionnel, d'accident non professionnel et de maladie professionnelle. Si l'assuré est invalide (art. 8 LPGA) à 10 % au moins par suite de l'accident, il a droit à une rente d'invalidité (art. 18 al. 1 LAA). Le droit à la rente prend naissance dès qu'il n'y a plus lieu d'attendre de la continuation du traitement médical une sensible amélioration de l'état de l'assuré et que les éventuelles mesures de réadaptation de l'assurance-invalidité ont été menées à terme (art. 19 al. 1, 1ère phrase, LAA).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 méthode ordinaire de la comparaison des revenus).</w:t>
      </w:r>
    </w:p>
    <w:p>
      <w:r>
        <w:rPr>
          <w:b/>
        </w:rPr>
        <w:t>E. 6.1</w:t>
      </w:r>
    </w:p>
    <w:p>
      <w:r>
        <w:t>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En règle ordinaire,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 ATF 128 V 29 consid. 1 ATF 130 V 343 consid. 3.4). Dans ce contexte, on évaluera le revenu que l'assuré pourrait encore réaliser dans une activité adaptée avant tout en fonction de la situation concrète dans laquelle il se trouve. Lorsqu'il a repris l'exercice d'une activité lucrative après la survenance de l'atteinte à la santé, il faut d'abord examiner si cette activité est stable, met pleinement en valeur sa capacité</w:t>
      </w:r>
    </w:p>
    <w:p>
      <w:r>
        <w:t>A/3278/2021 - 7/16 - de travail résiduelle et lui procure un gain correspondant au travail effectivement fourni, sans contenir d'élément de salaire social. Si ces conditions sont réunies, on prendra en compte le revenu effectivement réalisé pour fixer le revenu d'invalide (ATF 129 V 472 consid. 4.2.1 5 ; ATF 126 V 75 consid. 3b/aa). Selon le principe prévalant dans le domaine de l'assurance-invalidité et applicable également dans l’assurance-accidents, un assuré doit, avant de requérir des prestations,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Le point de savoir si une mesure peut être exigée d'un assuré doit être examiné au regard de l'ensemble des circonstances objectives et subjectives du cas concret.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prises en compte l'existence d'un marché du travail équilibré et la durée prévisible des rapports de travail (ATF 138 I 205 consid. 3.2 et les références ; cf. aussi arrêt 9C_644/2015 du 3 mai 2016 consid. 4.3.1).</w:t>
      </w:r>
    </w:p>
    <w:p>
      <w:r>
        <w:rPr>
          <w:b/>
        </w:rPr>
        <w:t>E. 7.1</w:t>
      </w:r>
    </w:p>
    <w:p>
      <w:r>
        <w:t>; 145 V 2 consid. 5.3.1; 138 V 457 consid. 3 et les références citées). En l’espèce, lors de son examen du 30 septembre 2020, le Dr G______, médecin de la SUVA, a fixé la capacité de travail résiduelle de travail du recourant à 100 %</w:t>
      </w:r>
    </w:p>
    <w:p>
      <w:r>
        <w:t>A/3278/2021 - 13/16 - dans une activité adaptée respectant les limitations fonctionnelles. A ce moment- là, le recourant avait alors 62 ans et 6 mois, à savoir 2 ans et demi avant l’âge de la retraite. Si la mise en valeur de sa capacité résiduelle de travail pouvait être immédiate, dès lors que l’éventail des activités accessibles n’exige pas de formation particulière, il convient de retenir, en sus de la durée prévisible des rapports de travail relativement courte, que le recourant a toujours exercé des travaux lourds d’aide-maçon, puis de carreleur chez le même employeur pendant</w:t>
      </w:r>
    </w:p>
    <w:p>
      <w:r>
        <w:rPr>
          <w:b/>
        </w:rPr>
        <w:t>E. 7.2</w:t>
      </w:r>
    </w:p>
    <w:p>
      <w:r>
        <w:t>Pour fixer le revenu sans invalidité, il faut établir ce que l'assuré aurait, au degré de la vraisemblance prépondérante, réellement pu obtenir au moment déterminant s'il n'était pas invalide. Le revenu sans invalidité doit être évalué de la manière la plus concrète possible. C'est pourquoi il se déduit en principe du salaire réalisé en dernier lieu par l'assuré avant l'atteinte à la santé, en tenant compte de l'évolution des salaires (ATF 129 V 222 consid. 4.3.1 et la référence).</w:t>
      </w:r>
    </w:p>
    <w:p>
      <w:r>
        <w:rPr>
          <w:b/>
        </w:rPr>
        <w:t>E. 7.3</w:t>
      </w:r>
    </w:p>
    <w:p>
      <w:r>
        <w:t>Le revenu d'invalide doit être évalué avant tout en fonction de la situation professionnelle concrète de l'assuré. Il correspond au revenu effectivement réalisé par l'intéressé pour autant que les rapports de travail apparaissent particulièrement stables, qu'en exerçant l'activité en question celui-ci mette pleinement en valeur sa capacité résiduelle de travail raisonnablement exigible et encore que le gain ainsi obtenu corresponde à son rendement effectif, sans comporter d'éléments de salaire social. En l'absence d'un revenu effectivement réalisé – soit lorsque la personne</w:t>
      </w:r>
    </w:p>
    <w:p>
      <w:r>
        <w:t>A/3278/2021 - 8/16 - assurée, après la survenance de l'atteinte à la santé, n'a pas repris d'activité lucrative ou alors aucune activité normalement exigible –, le revenu d'invalide peut être évalué sur la base de salaires fondés sur les données statistiques résultant de l'ESS ou sur les données salariales résultant des DPT établies par la CNA (ATF 135 V 297 consid. 5.2 ; ATF 129 V 472 consid. 4.2.1).</w:t>
      </w:r>
    </w:p>
    <w:p>
      <w:r>
        <w:rPr>
          <w:b/>
        </w:rPr>
        <w:t>E. 7.4</w:t>
      </w:r>
    </w:p>
    <w:p>
      <w:r>
        <w:t>Il convient de se fonder, en règle générale, sur les salaires mensuels indiqués dans la table ESS TA1, à la ligne « total secteur privé »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convient de se référer à la version de l'ESS publiée au moment déterminant de la décision querellée (ATF 143 V 295 consid. 4 ; arrêt du Tribunal fédéral 8C_655/2016 du 4 août 2017 consid. 6.3). A cet égard, l’ESS 2018 a été publiée le 21 avril 2020 ; l’ESS 2016, le 26 octobre 2018 (étant précisé que le tableau T1_tirage_skill_level a été corrigé le 8 novembre 2018) ; et l’ESS 2014, le 15 avril 2016.</w:t>
      </w:r>
    </w:p>
    <w:p>
      <w:r>
        <w:rPr>
          <w:b/>
        </w:rPr>
        <w:t>E. 7.5</w:t>
      </w:r>
    </w:p>
    <w:p>
      <w:r>
        <w:t>Depuis la 10e édition des ESS (ESS 2012), les emplois sont classés par l'Office fédéral de la statistique (OFS) par profession en fonction du type de travail qui est généralement effectué. L'accent est ainsi mis sur le type de tâches que la personne concernée est susceptible d'assumer en fonction de ses qualifications (niveau de ses compétences) et non plus sur les qualifications en elles-mêmes. Quatre niveaux de compétence ont été définis en fonction de neuf groupes de profession (voir tableau T17 de l'ESS 2012 p. 44) et du type de travail, de la formation nécessaire à la pratique de la profession et de l'expérience professionnelle (voir tableau TA1_skill_level de l'ESS 2012 ; ATF 142 V 178 consid. 2.5.3).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w:t>
      </w:r>
    </w:p>
    <w:p>
      <w:r>
        <w:t>A/3278/2021 - 9/16 -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(arrêt du Tribunal fédéral 9C_370/2019 du 10 juillet 2019 consid. 4.1 et les références).</w:t>
      </w:r>
    </w:p>
    <w:p>
      <w:r>
        <w:rPr>
          <w:b/>
        </w:rPr>
        <w:t>E. 7.6</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5b/aa-cc), étant toutefois précisé que le Tribunal fédéral a laissée ouverte la question de savoir si, dans le domaine de l'assurance-accidents obligatoire, le critère de l’âge constitue un critère d'abattement ou si l'influence de l'âge sur la capacité de gain doit être prise en compte uniquement dans le cadre de la réglementation particulière de l'art. 28 al. 4 de l’ordonnance sur l'assurance-accidents du 20 décembre 1982 (OLAA - RS 832.202 ; cf. arrêts du Tribunal fédéral 8C_661/2018 du 28 octobre 2019 consid. 3.3.4.2 et 8C_122/2019 du 10 septembre 2019 consid. 4.3.2 et les références citées).</w:t>
      </w:r>
    </w:p>
    <w:p>
      <w:r>
        <w:rPr>
          <w:b/>
        </w:rPr>
        <w:t>E. 7.7</w:t>
      </w:r>
    </w:p>
    <w:p>
      <w:r>
        <w:t>Par ailleurs, bien qu'il s'agisse d'un facteur étranger à l'invalidité, l'âge (avancé) peut conduire avec d'autres éléments personnels ou professionnels à ce que la capacité résiduelle de travail ne soit plus requise de manière réaliste sur un marché du travail équilibré (ATF 138 V 457 consid. 3.1 ; arrêt 8C_55/2021 du</w:t>
      </w:r>
    </w:p>
    <w:p>
      <w:r>
        <w:rPr>
          <w:b/>
        </w:rPr>
        <w:t>E. 9</w:t>
      </w:r>
    </w:p>
    <w:p>
      <w:r>
        <w:t>En l’espèce, il n’est pas contesté que le recourant ne peut plus exercer l’activité de carreleur. En revanche, dans une activité adaptée respectant les limitations fonctionnelles telles que décrites par les médecins de la CRR ainsi que les Drs E______ et G______, la capacité de travail est totale. Le médecin traitant de l’assuré estime quant à elle que la capacité de travail est nulle dans toutes activités, compte tenu de l’ensemble de ses atteintes à la santé. Le recourant soutient également que son invalidité est totale dans toute activité. Or, la capacité de travail du recourant doit être évaluée pour les seules conséquences de l’accident de 2018. A cet égard, selon le rapport d’examen du Dr G______, la capacité de travail du recourant dans une activité respectant les limitations fonctionnelles est médicalement exigible à 100 %, sans diminution de rendement. Le Dr D______ de la CRR indiquait également en 2018 que le pronostic de réinsertion dans une activité adaptée respectant les limitations fonctionnelles était en théorie favorable. Le fait que l’assurance-invalidité ait reconnu le recourant invalide à 100 % et lui a accordé une rente entière d’invalidité n’est pas pertinent ; en effet, l’évaluation de l’invalidité par l’OAI ne lie pas l’assurance-accident qui effectue son évaluation au regard des seules conséquences de l’accident, alors que l’assurance-invalidité tient compte de toutes les atteintes à la santé présentées par le recourant (hernie discale, diabète, surdité, HTA notamment).</w:t>
      </w:r>
    </w:p>
    <w:p>
      <w:r>
        <w:t>A/3278/2021 - 11/16 - La chambre des assurances sociales (ci-après ; la chambre de céans) n’a pas de motif pour remettre en cause les appréciations du médecin de la SUVA et de la CRR quant à l’activité exigible dans une activité adaptée.</w:t>
      </w:r>
    </w:p>
    <w:p>
      <w:r>
        <w:rPr>
          <w:b/>
        </w:rPr>
        <w:t>E. 9.1</w:t>
      </w:r>
    </w:p>
    <w:p>
      <w:r>
        <w:t>Procédant au calcul du degré d’invalidité, l’intimée a retenu un revenu annuel sans invalidité de CHF 75'177.-, en se fondant sur les chiffres communiqués par l’employeur, à savoir un salaire horaire en 2021 de CHF 32.55, en tenant compte de 41 heures de travail hebdomadaires sur 52 semaines, plus le 13ème salaire (8.33 %). Le recourant conteste ce montant, alléguant qu’il convient d’ajouter l’indemnité forfaitaire de déplacement de CHF 17.50 par jour en 2017, portée à CHF 18.- dès 2018, selon l’art. 23 chiffre 2 let. a de la Convention collective de travail du Second Œuvre romand (CCT-SOR), versée par l’employeur en sus du salaire de base. Pour l’intimée, ces frais n’étaient manifestement pas dus pour chaque jour de travail et pas uniquement pour les repas pris à l’extérieur, mais également pour le transport professionnel ainsi que pour l’outillage. Il paraît ainsi illusoire de tenir compte de cette indemnité forfaitaire dans le calcul du gain hypothétique de valide. La chambre de céans constate que l’indemnité forfaitaire transport/subsistance/carrelage telle qu’elle ressort des fiches de salaires produites a été versée durant toute l’année 2017 et que l’employeur a annoncé un salaire horaire de CHF 32.55 pour 2021, plus CHF 18.- d’indemnité par jour. Mais il ressort aussi des fiches de salaire que cette indemnité n’a pas été soumise à cotisations sociales. Dans un arrêt du 18 décembre 2018 (8C_310/2018), le Tribunal fédéral a jugé qu’il ressort de l'art. 23 al. 1 let. a CCT-SOR que les indemnités prévues servent à couvrir les frais supplémentaires subis par le travailleur en raison des déplacements de l'atelier aux chantiers et des repas pris en dehors du domicile. Elles ne constituent donc pas des indemnités allouées régulièrement au salarié pour ses déplacements de son domicile au lieu de son travail habituel, ni des indemnités pour les repas courants pris au domicile ou au lieu de travail habituel. C'est pourquoi elles représentent incontestablement des indemnités pour frais encourus non comprises dans le salaire déterminant (art. 9 du règlement sur l'assurance-vieillesse et survivants du 31 octobre 1947 [RAVS - RS 831.101]). Le fait que dans le canton de Genève, le remboursement de ces frais supplémentaires est réglé de manière forfaitaire à l'art. 23 al. 2 CCT-SOR ne change rien (voir également arrêt 8C_964/2012) ; selon le Tribunal fédéral, il n'y a ainsi pas lieu d'ajouter au revenu sans invalidité, déterminant pour la comparaison des revenus, l'indemnité forfaitaire allouée en vertu de l'art. 23 ch. 2 CCT-SOR. Au vu de ce qui précède, le revenu sans invalidité de CHF 75'177.- tel que retenu par l’intimée doit être confirmé.</w:t>
      </w:r>
    </w:p>
    <w:p>
      <w:r>
        <w:t>A/3278/2021 - 12/16 -</w:t>
      </w:r>
    </w:p>
    <w:p>
      <w:r>
        <w:rPr>
          <w:b/>
        </w:rPr>
        <w:t>E. 9.2</w:t>
      </w:r>
    </w:p>
    <w:p>
      <w:r>
        <w:t>Pour le revenu d’invalide, le recourant n’ayant pas repris d’activité, l’intimée s’est fondée à juste titre sur les salaires statistiques ressortant des enquêtes sur la structure des salaires (ESS), publiées par l’Office fédéral de la statistique, année 2018, TA1 niveau de compétence 1, total hommes, soit un gain mensuel de CHF 5'417.- et CHF 65'004.- par an. Adapté à l’horaire de travail moyen hebdomadaire de la branche économique (soit 41,7h), le salaire annuel s’élève à CHF 67'766.67 ; après indexation selon l’indice des salaires nominaux de 0,9 % pour 2019, 0.8 % pour 2020 et 0.5 % pour 2021, le salaire d’invalide s’élève à CHF 69'268.-. Le recourant soutient que l’intimée a violé l’art. art. 43 LPGA en n’instruisant pas quelle activité est raisonnablement exigible. La chambre de céans relève cependant que selon le rapport d’examen du Dr G______, la capacité de travail du recourant dans une activité respectant les limitations fonctionnelles est médicalement exigible à 100 %, sans diminution de rendement. Le Dr D______ de la CRR indiquait également en 2018 que le pronostic de réinsertion dans une activité adaptée respectant les limitations fonctionnelles était en théorie favorable. Si l’on ne saurait, certes, se fonder sur des possibilités de travail irréalistes, il ne faut pas non plus poser des exigences excessives à la concrétisation des possibilités de travail et des perspectives de gain ; cet examen s'effectue de façon d'autant plus approfondie que le profil d'exigibilité est défini de manière restrictive (arrêt 8C_95/2020 du 14 mai 2020 consid. 5.2.2). Or, le salaire ressortant du tableau TA1 de l’ESS, niveau de compétence 1, soit les activités simples et répétitives, recouvre un large éventail d’activités légères, variées et non qualifiées sur le marché du travail équilibré, n’exigeant pas de formation particulière et donc accessibles pour le recourant. Le recourant ne saurait dès lors faire grief à l’intimée de s’être fondée sur le salaire moyen ressortant de l’ESS pour déterminer le revenu d’invalide. Sur ce point, l’argument du recourant doit être rejeté.</w:t>
      </w:r>
    </w:p>
    <w:p>
      <w:r>
        <w:rPr>
          <w:b/>
        </w:rPr>
        <w:t>E. 9.3</w:t>
      </w:r>
    </w:p>
    <w:p>
      <w:r>
        <w:t>L’intimée a procédé à un abattement de 10 % sur le revenu d’invalide pour tenir compte des limitations fonctionnelles. Le recourant considère que l’abattement est insuffisant, compte tenu non seulement de ses importantes limitations fonctionnelles, mais aussi de son âge avancé proche de la retraite qui limiterait fortement son employabilité et impliquerait un salaire réduit. Concernant l’âge du recourant, le moment où la question de la mise en valeur de la capacité (résiduelle) de travail pour un assuré proche de l'âge de la retraite doit être examinée correspond au moment où il a été constaté que l'exercice (partiel) d'une activité lucrative était médicalement exigible (ATF 146 V 16 consid.</w:t>
      </w:r>
    </w:p>
    <w:p>
      <w:r>
        <w:rPr>
          <w:b/>
        </w:rPr>
        <w:t>E. 14</w:t>
      </w:r>
    </w:p>
    <w:p>
      <w:r>
        <w:t>ans et qu’il ne dispose pas d’autre formation. Le recourant peut certes exercer une activité adaptée légère, mais avec des limitations fonctionnelles des deux membres supérieurs ; par conséquent s’il était réemployé, son salaire serait certainement nettement moins élevé que le salaire moyen d’un travailleur non qualifié en bonne santé. La chambre de céans estime qu’il s’agit-là de facteurs à prendre en compte dans leur globalité. Au vu de l’ensemble des circonstances du cas concret, la chambre de céans considère qu’un abattement de 20 % se justifie sur le revenu d’invalide de CHF 69'268.-, soit CHF 13'853.60, arrondi à CHF 13’854.-, de sorte que le gain d’invalide s’élève à CHF 55'414.-. Comparé au revenu sans invalidité de CHF 75'177.-, la perte de gain s’élève à CHF 19’763.-, aboutissant à un degré d’invalidité de 26,28 % et à une rente d’invalidité de 26 %. 10. Reste à examiner le taux de l’IPAI de 28 % octroyée par l’intimée et contesté par le recourant. 10.1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1ère phrase); elle ne doit pas excéder le montant maximum du gain annuel assuré à l'époque de l'accident et elle est échelonnée selon la gravité de l'atteinte à l'intégrité (al. 1, 2ème phrase). Elle est également versée en cas de maladie professionnelle (cf. art. 9 al. 3 LAA). Le Conseil fédéral édicte des prescriptions détaillées sur le calcul de l'indemnité (al. 2). L'indemnité pour atteinte à l'intégrité est une forme de réparation morale pour le préjudice immatériel (douleurs, souffrances, diminution de la joie de vivre, limitation des jouissances offertes par l'existence etc.) subi par la personne atteinte, qui perdure au-delà de la phase du traitement médical et dont il y a lieu d'admettre qu'il subsistera la vie durant. Elle n'a pas pour but d'indemniser les souffrances physiques ou psychiques de l'assuré pendant le traitement, ni le tort moral subi par les proches en cas de décès. L'indemnité pour atteinte à l'intégrité se caractérise par le fait qu'elle est exclusivement fixée en fonction de facteurs médicaux objectifs, valables pour tous les assurés, et sans égard à des considérations d'ordre subjectif ou personnel (arrêt du Tribunal fédéral</w:t>
      </w:r>
    </w:p>
    <w:p>
      <w:r>
        <w:t>A/3278/2021 - 14/16 - 8C_703/2008 du 25 septembre 2009 consid. 5.1 et les références). En cela, l'indemnité pour atteinte à l'intégrité se distingue de la réparation morale selon le droit civil, qui n'implique pas une atteinte durable et qui vise toutes les souffrances graves liées à une lésion corporelle (ATF 133 V 224 consid. 5.1 et les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 ATF 113 V 218 consid. 4b et les références; voir aussi ATF 125 II 169 consid. 2d). 10.2 Selon l’art. 36 OLAA édicté conformément à la délégation de compétence de l’art. 25 al. 2 LAA, une atteinte à l'intégrité est réputée durable lorsqu'il est prévisible qu'elle subsistera avec au moins la même gravité pendant toute la vie (al. 1, 1ère phrase); elle est réputée importante lorsque l'intégrité physique ou mentale subit, indépendamment de la diminution de la capacité de gain, une altération évidente ou grave (al. 1, 2ème phrase). L’indemnité pour atteinte à l'intégrité est calculée selon les directives figurant à l'annexe 3 à l'OLAA (al. 2). En cas de concours de plusieurs atteintes à l'intégrité physique ou mentale, dues à un ou plusieurs accidents, l'indemnité pour atteinte à l'intégrité est fixée d'après l'ensemble du dommage (al. 3, 1ère phrase). Cette disposition a été jugée conforme à la loi en tant qu'elle définit le caractère durable de l'atteinte (ATF 133 V 224 consid. 2 ; arrêt du Tribunal fédéral des assurances U 401/06 du 12 janvier 2007 consid. 2.2). Le caractère durable de l'atteinte doit être à tout le moins établi au degré de la vraisemblance prépondérante (ATF 124 V 29 consid. 4b/cc). Quant au caractère important de l'atteinte, le ch. 1 de l'annexe 3 à l'OLAA précise que les atteintes à l'intégrité qui sont inférieures à 5 % selon le barème ne donnent droit à aucune indemnité. Il faut en conclure qu'une atteinte est réputée importante si elle atteint au moins ce pourcentage (Thomas FREI et Juerg P. BLEUER, Évaluation d'atteintes à l'intégrité multiples, in SUVA Medical 2012, p. 202). Le taux d'une atteinte à l'intégrité doit être évalué exclusivement sur la base de constatations médicales (ATF 115 V 147 consid. 1 ; ATF 113 V 218 consid. 4b ; RAMA 2004 p. 415; arrêt du Tribunal fédéral des assurances U 134/03 du 12 janvier 2004 consid. 5.2). En cas de concours de plusieurs atteintes à l’intégrité physique, mentale ou psychique, dues à un ou plusieurs accidents, l’indemnité pour atteinte à l’intégrité est fixée d’après l’ensemble du dommage. L’indemnité totale ne peut dépasser le montant maximum du gain annuel assuré. Il est tenu compte, dans le taux</w:t>
      </w:r>
    </w:p>
    <w:p>
      <w:r>
        <w:t>A/3278/2021 - 15/16 - d’indemnisation, des indemnités déjà reçues en vertu de la loi (art. 36 al. 3 OLAA). La jurisprudence a reconnu la légalité de cette disposition réglementaire, également dans le cas où les atteintes à l'intégrité sont dues à différents accidents (arrêt du Tribunal fédéral 8C_812/2010 du 2 mai 2011 consid. 6). Si un événement assuré se solde par une atteinte à l'intégrité alors qu'un événement antérieur a déjà donné lieu au versement d'une indemnité pour atteinte à l'intégrité, le principe veut que les indemnités déjà perçues en vertu de la loi soient imputées en pourcentage et non selon le montant (arrêt du Tribunal fédéral 8C_812/2010 du 2 mai 2011 consid. 6.4.4). Selon la jurisprudence, il y a lieu d'additionner le pour cent correspondant à chacune des atteintes, même celles qui n'atteignent pas 5 % (ATF 116 V 156 consid. 3b ; RAMA 1988 p. 230). 10.3 En l’espèce, dans son appréciation du 30 septembre 2020, le médecin de la SUVA, se référant au tableau n° 1 de la SUVA relatif aux atteintes à l’intégrité de troubles fonctionnels d’un membre supérieur, a fixé l’IPAI pour les suites de l’accident de 2018 à 30 %, soit 15 % pour le membre supérieur droit et 15 % pour le membre supérieur gauche. Toutefois, compte tenu de l’IPAI de 10 % accordée pour les suites de l’accident du 8 janvier 2013 (fracture du poignet droit), le médecin a réduit à 13 % l’IPAI pour le membre supérieur droit, de sorte que l’IPAI globale s’élève à 28 %. La chambre de céans considère qu’il n’y a pas lieu de remettre en cause cette pondération, effectuée conformément à l’art. 36 al. 3 OLAA. 11. Au vu de ce qui précède, le recours est partiellement admis. Le recourant obtenant partiellement gain de cause, une indemnité de CHF 1’500.- lui sera accordée à titre de participation à ses frais et dépens (art. 61 let. g LPGA ; art. 6 du règlement sur les frais, émoluments et indemnités en matière administrative du 30 juillet 1986 [RFPA - E 5 10.03]). Pour le surplus, la procédure est gratuite (art. 61 let. fbis a contrario LPGA).</w:t>
      </w:r>
    </w:p>
    <w:p>
      <w:r>
        <w:t>A/3278/2021 - 16/16 -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