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ATAS/849/2015 vom 11. November 2015</w:t>
      </w:r>
    </w:p>
    <w:p>
      <w:r>
        <w:t>GE Cour de justice, 2015-11-11, FR</w:t>
      </w:r>
    </w:p>
    <w:p>
      <w:r>
        <w:rPr>
          <w:b/>
        </w:rPr>
        <w:t xml:space="preserve">Quelle: </w:t>
      </w:r>
      <w:r>
        <w:t>https://mcp.opencaselaw.ch/entscheid/ge_gerichte_ATAS_849_2015</w:t>
      </w:r>
    </w:p>
    <w:p>
      <w:r>
        <w:t>FR: GE_GERICHTE ATAS/849/2015 du 11 novembre 2015</w:t>
      </w:r>
    </w:p>
    <w:p>
      <w:r>
        <w:t>IT: GE_GERICHTE ATAS/849/2015 del 11 novembre 2015</w:t>
      </w:r>
    </w:p>
    <w:p>
      <w:pPr>
        <w:pStyle w:val="Heading2"/>
      </w:pPr>
      <w:r>
        <w:t>Erwägungen</w:t>
      </w:r>
    </w:p>
    <w:p>
      <w:r>
        <w:rPr>
          <w:b/>
        </w:rPr>
        <w:t>E. 1</w:t>
      </w:r>
    </w:p>
    <w:p>
      <w:r>
        <w:t>a) Conformément à l'art. 7 du Code de procédure civile suisse du 19 décembre 2008 (CPC - RS 272) et à l'art. 134 al. 1 let. c de la loi sur l'organisation judiciaire, du 26 septembre 2010 (LOJ - E 2 05) en vigueur depuis le 1er janvier 2011, la chambre des assurances sociales de la Cour de justice connaît en instance unique des contestations relatives aux assurances complémentaires à l’assurance-maladie sociale prévue par la loi fédérale sur l’assurance-maladie du 18 mars 1994 (LAMal - RS 832.10), relevant de la loi fédérale sur le contrat d'assurance, du</w:t>
      </w:r>
    </w:p>
    <w:p>
      <w:r>
        <w:rPr>
          <w:b/>
        </w:rPr>
        <w:t>E. 2</w:t>
      </w:r>
    </w:p>
    <w:p>
      <w:r>
        <w:t>Les litiges relatifs aux assurances complémentaires à l'assurance-maladie ne sont pas soumis à la procédure de conciliation préalable de l'art. 197 CPC lorsque les cantons ont prévu une instance cantonale unique selon l'art. 7 CPC (ATF 138 III 558 consid. 4.5 et 4.6 ; ATAS/577/2011 du 31 mai 2011), étant précisé que le législateur genevois a fait usage de cette possibilité (art. 134 al. 1 let. c LOJ). Pour le surplus, la procédure simplifiée s'applique aux litiges portant sur des assurances complémentaires à l’assurance-maladie sociale au sens de la LAMal (art. 243 al. 2 let. f CPC) et la chambre de céans établit les faits d'office (art. 247 al. 2 let. a CPC). Il s'agit donc d'un cas où une disposition spéciale instaure la maxime inquisitoire, en lieu et place de la maxime des débats (ATF 138 III 625 consid. 2.1). Ce principe n'est pas une maxime officielle absolue, mais une maxime inquisitoire sociale (arrêt du Tribunal fédéral 9C_541/2010 du 16 juillet 2010 consid. 1).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 Par ailleurs, elle laisse le juge libre dans sa manière d’apprécier les preuves (ATF 129 III 18 consid. 2.6). Au regard de ce qui précède, la demanderesse soutient à tort que le CPC ne s'applique pas au cas d'espèce.</w:t>
      </w:r>
    </w:p>
    <w:p>
      <w:r>
        <w:rPr>
          <w:b/>
        </w:rPr>
        <w:t>E. 3</w:t>
      </w:r>
    </w:p>
    <w:p>
      <w:r>
        <w:t>La chambre de céans relève en premier lieu que la demanderesse a interjeté à tort un « recours pour déni de justice » au lieu d’une demande. En effet, dans le domaine des assurances complémentaires soumises à la LCA, l'assureur n'a aucun pouvoir de trancher lui-même les contestations par ses propres décisions (arrêt 4A_563/2008 du 10 février 2009 consid. 2). Il appartient aux intéressés de faire valoir leurs droits, cas échéant, par le biais d’une action en justice. Cette erreur dans le libellé de l’acte ne permet toutefois pas de le déclarer irrecevable, dans la mesure où il respecte les conditions de forme requises (art. 244 et 130 CPC) et que les termes de l’écriture de la demanderesse permettent de</w:t>
      </w:r>
    </w:p>
    <w:p>
      <w:r>
        <w:t>A/204/2015 - 8/14 - comprendre qu’elle conteste la résiliation du contrat d’assurance, conclut à son maintien et au versement des indemnités journalières découlant de l’incapacité de travail de l’assuré à partir du 15 avril 2014.</w:t>
      </w:r>
    </w:p>
    <w:p>
      <w:r>
        <w:rPr>
          <w:b/>
        </w:rPr>
        <w:t>E. 4</w:t>
      </w:r>
    </w:p>
    <w:p>
      <w:r>
        <w:t>Le litige consiste ainsi à déterminer si la défenderesse était fondée à se départir du contrat conclu pour cause de réticence commise par l’assuré et à refuser le paiement d’indemnités journalières en faveur de l’assuré. Dans la mesure où la demanderesse conclut à ce qu’il soit dit et constaté que la résiliation du contrat d’assurance conclu avec la défenderesse est intervenue tardivement, de sorte qu’il doit être maintenu, il convient d’examiner la recevabilité de cette action. En effet, la demande en constatation suppose un intérêt digne de protection à la constatation (cf. ATF 132 V 18 consid. 2.2 p. 21 s). Des conclusions uniquement constatatoires sont en principe irrecevables, faute d'intérêt digne de protection au recours, lorsque le recourant peut obtenir en sa faveur un jugement condamnatoire ou formateur; en ce sens, le droit d'obtenir un jugement en constatation de droit est subsidiaire (cf. ATF 135 I 119 consid. 4 p. 122; 132 V 18 consid. 2.1 p. 19; 129 V 289 consid. 2.1 p. 290; 125 V 21 consid. 1b p. 24). En l’espèce, la demanderesse dispose sans aucun doute d’un intérêt digne de protection à la constatation, dans la mesure où elle ne peut obtenir un jugement condamnatoire en sa faveur (voir consid. 6 ci-après). En tant que preneur d’assurance, elle a incontestablement intérêt à faire constater que le contrat est maintenu en cas de résiliation tardive, dès lors que l’assuré est son employé titulaire du droit aux indemnités journalières et qu’un autre salarié est assuré dans le cadre dudit contrat d’assurance collective. Au vu de ce qui précède, la demande de constatation est recevable.</w:t>
      </w:r>
    </w:p>
    <w:p>
      <w:r>
        <w:rPr>
          <w:b/>
        </w:rPr>
        <w:t>E. 4.4</w:t>
      </w:r>
    </w:p>
    <w:p>
      <w:r>
        <w:t>; ATF 122 V 81 consid. 1b ; Christoph FREY/Nathalie LANG, Basler Kommentar, Versicherungsvertragsgesetz, Nachführungsband, 2012, n. 18 ad art. 87 LCA ; Hans-Rudolf MÜLLER, Grundlagen der Krankentaggeldversicherung nach VVG, in Krankentaggeldversicherung: Arbeits- und versicherungsrechtliche Aspekte, 2007, p. 27 ; Gebhard EUGSTER, Vergleich der Krankentaggeldversicherung [KTGV] nach KVG und nach VVG, in Krankentaggeldversicherung: Arbeits- und versicherungsrechtliche Aspekte, 2007, p. 78 note de bas de page 97). Au vu de ce qui précède, force est de conclure que la demanderesse n’a pas la légitimation active pour faire valoir des prétentions en paiement d’indemnités journalières. Sa demande est rejetée.</w:t>
      </w:r>
    </w:p>
    <w:p>
      <w:r>
        <w:rPr>
          <w:b/>
        </w:rPr>
        <w:t>E. 5</w:t>
      </w:r>
    </w:p>
    <w:p>
      <w:r>
        <w:t>a) Dans son arrêt du 29 octobre 2015 en la cause A/203/2015 (ATAS/840/2015), le plenum de la chambre de céans a considéré que l’assuré avait répondu de manière erronée au questionnaire de santé et caché ainsi des informations importantes, de sorte qu’il avait commis une réticence. Partant, la défenderesse était fondée à résilier le contrat d’assurance collective, conformément à l’art. 6 al. 1 LCA. b) Examinant ensuite la question de la résiliation, le plenum a rappelé que le délai de quatre semaines de l'art. 6 al. 2 LCA dont dispose l'assureur pour résilier le contrat d'assurance est un délai de péremption (ATF 118 II 333, consid. 3a ; ATF 116 V 218 consid. 6a et les références ; Olivier CARRÉ, Loi fédérale sur le contrat d’assurance, édition annotée, 2000, ad art. 6 LCA, p. 148). La résolution peut intervenir après la survenance du sinistre (ATF 116 II 341 consid. 2a et les références). Le respect du délai doit être prouvé par l'assureur (ATF 118 II 333, consid. 3a ; Urs Ch. NEF, Basler Kommentar, Verischerungsvertragsgesetz, 2001, n. 26 ad art. 6 LCA ; Hans ROELLI/Max KELLER, Kommentar zum Schweizerischen Bundesgesetz über Versicherungsvertrag vom 2. April 1908, p. 141). Si l’assureur ne résilie pas le contrat dans le délai légal à partir du moment</w:t>
      </w:r>
    </w:p>
    <w:p>
      <w:r>
        <w:t>A/204/2015 - 9/14 - où il a eu conscience de la réticence, le contrat d’assurance subsiste entre les parties avec le même contenu (Urs Ch. NEF/Clemens VON ZEDTWITZ, Basler Kommentar, Versicherungsvertragsgesetz, Nachführungsband, 2012, ad n. 16 ad art. 6 LCA ; Peter GAUCH, in RJB 2006, p. 367). Selon une jurisprudence établie et la doctrine, le délai de quatre semaines ne commence à courir que lorsque l’assureur « est complètement orienté sur tous les points touchant la réticence et qu’il en a une connaissance effective, de simples doutes à cet égard étant insuffisants » (ATF 118 II 333 consid. 3a ; ATF 116 V 218 consid. 6a et les références ; ATF 116 II 342 consid. 2a in fine ; ATF 109 II 159 consid. 2a). Autrement dit, le délai court à partir du moment où l’assureur a eu une connaissance effective, certaine et complète de la réticence et non pas à partir du moment où il aurait pu en avoir connaissance (arrêt du Tribunal fédéral 4A_370/2012 du 4 décembre 2012 consid. 2.1 ; arrêt du Tribunal fédéral 4A_54/2011 du 27 avril 2011 consid. 2.4). De même, les premiers soupçons de l’assureur, même s’ils sont graves, ne font pas courir le délai précité (ATF 118 II 333 consid. 3a ; ATF 116 V 218 consid. 6a ; CARRÉ, op. cit., ad art. 6 LCA, p. 148). L’assureur agit donc en temps utile lorsqu’il cherche des informations précises et ne se départ du contrat que dans les quatre semaines suivant leur réception (ATF 118 II 333 consid. 3a ; cf. aussi ATF 109 II 159 ; CARRÉ, op. cit., ad art. 6 LCA, p. 148). Le comportement de l’assureur peut cependant être considéré comme abusif s’il a eu la possibilité de prendre connaissance des éléments constitutifs de la réticence longtemps auparavant sur la base des renseignements en sa possession (arrêt du Tribunal fédéral 4A_370/2012 du 4 décembre 2012 consid. 2.1 ; arrêt du Tribunal fédéral 4A_177/2008 du 14 octobre 2009 consid. 6). La chambre de céans a jugé, au regard des pièces produites, que la défenderesse a eu connaissance de la réticence commise par l’assuré à réception du rapport du Dr E______ - daté du 4 août 2014 -, soit en l’occurrence le vendredi 8 août 2014, date à laquelle le délai de quatre semaines pour invoquer la réticence et résilier le contrat a commencé à courir. Par conséquent, le délai de résiliation était échu quatre semaines plus tard, jour pour jour, soit le vendredi 5 septembre 2014. c) Quant au point de savoir si la résiliation est intervenue en temps utile, il convient de relever que le délai de quatre semaines de l’art. 6 al. 2 LCA se calcule conformément à l’art. 77 al. 1 ch. 2 CO, aux termes duquel « si le délai est fixé par semaines, la dette est échue le jour qui, dans la dernière semaine, correspond par son nom au jour de la conclusion du contrat » (ATF 129 III 713 consid. 2.1 ; NEF, op. cit., n. 24 ad art. 6 LCA ; Eva POUGET-HÄNSELER, Anzeigepflichtverletzung : Auswirkungen der Revision auf die Praxis, in REAS 2006, p. 29). Dans son arrêt du 29 octobre 2015 précité, la chambre de céans, constatant que la LCA n’indique pas si la déclaration de résiliation de l’assureur doit parvenir à son destinataire ou s’il suffit qu’elle soit expédiée (le cachet postal faisant foi) avant la</w:t>
      </w:r>
    </w:p>
    <w:p>
      <w:r>
        <w:t>A/204/2015 - 10/14 - fin dudit délai, s’est ralliée à l’opinion de la doctrine majoritaire selon laquelle la déclaration de résiliation doit être parvenue au preneur d’assurance avant l’expiration du délai de l’art. 6 al. 2 LCA (NEF/VON ZEDTWITZ, op. cit., ad n. 16 ad art. 6 LCA ; GAUCH, op. cit., 2006, p. 367 ; Stephan FUHRER, Réticence, in ASA/svv Infoméd 2008/1 Devoirs d’information dans l’assurance vie individuelle, p. 20). Cette opinion peut trouver son fondement à l’art. 100 LCA qui, pour ce que cette loi ne règle pas, renvoie au droit des obligations, en vertu duquel les manifestations de volonté sont en principe soumises à réception (arrêt du Tribunal fédéral 5C.263/2000 du 6 mars 2001 consid. 4a ; Vincent BRULHART, Droit des assurances privées, 2008, p. 29 ; cf. art. 3 al. 2, 5 et 9 al. 1 CO ; Pierre TERCIER/Pascal PICHONNAZ, Le droit des obligations, 5ème éd., 2012, p. 48 ; Ariane MORIN, Commentaire romand, Code des obligations I, 2012, n. 13 ad art. 1 CO). Une manifestation de volonté écrite déploie ses effets, selon le système dit de la réception (« Empfangstheorie »), dès qu’elle entre dans la sphère de puissance du destinataire – elle lui est remise, ou est déposée dans sa boîte aux lettres – même si celui-ci n’en prend pas connaissance. Si le destinataire d’un envoi recommandé ne peut pas être atteint et que le facteur lui laisse un avis de retrait, la déclaration est considérée comme reçue dès que le destinataire est en mesure d’en prendre possession au bureau de poste, pour autant qu’on puisse attendre de lui qu’il le fasse aussitôt (ATF 107 II 189 consid. 2 et les références citées ; MORIN, op. cit., n. 17 ad art. 1 CO). Il s’agit donc soit du jour même où l’avis de retrait est déposé dans la boîte aux lettres si l’on peut attendre du destinataire qu’il le retire aussitôt, sinon en règle générale, le lendemain de ce jour, en particulier dans le cas d’un destinataire qui exerce une activité professionnelle durant la journée (ATF 137 III 208 consid. 3.1.2 ; Ernst A. KRAMER, Berner Kommentar, Art. 1-18 OR. Allgemeine Bestimmungen: Die Entstehung durch Vertrag, 1986, n. 88 ad art. 1 CO). Il y a lieu de préciser qu’une communication écrite reçue par un tiers est immédiatement opposable à son destinataire, notamment si les circonstances permettent raisonnablement de retenir que le tiers était autorisé et qualifié à recevoir la communication pour son compte, par exemple parce qu’il s’agissait d’un de ses employés travaillant à son adresse professionnelle (MORIN, op. cit., n. 19 ad art. 1 CO). La question n’a jamais été expressément tranchée par le Tribunal fédéral qui fait uniquement référence, dans plusieurs arrêts, à la date des déclarations de résiliation (cf. ATF 129 III 713 consid. 2.1: « Rücktrittserklärung vom 6. September 1994 » ; ATF 131 III 542: « la déclaration de résolution du 11 novembre 1998 » ; arrêt du Tribunal fédéral 4A_289/2013 du 10 septembre 2013 consid. 4.2: « la déclaration de résiliation du 13 août 2009 »). Toutefois, dans un arrêt récent, notre Haute Cour n'a pas remis en question la conclusion de l'instance inférieure selon laquelle la résiliation aurait dû parvenir à l'assuré au plus tard à la fin du délai de quatre semaines (arrêt du Tribunal fédéral 4A_112/2013 du 20 août 2013 consid. 2 : « Spätestens in diesem Zeitpunkt hätte die Kündigung dem Beschwerdegegner zugehen müssen »).</w:t>
      </w:r>
    </w:p>
    <w:p>
      <w:r>
        <w:t>A/204/2015 - 11/14 - Dans la cause opposant l’assuré à la défenderesse, la chambre de céans a jugé que la résiliation doit parvenir au preneur d’assurance, respectivement à l’assuré, au plus tard à la fin du délai de quatre semaines après le moment où l’assureur a eu connaissance de la réticence. Eu égard à la rigueur de la loi quant aux conséquences de la réticence, il y a lieu en effet de se montrer exigeant quant au respect du délai de résiliation. L’assureur ne saurait attendre le dernier moment pour résilier le contrat. Etant donné que dans le cas d’espèce l’avis de retrait du recommandé a été déposé le dernier jour du délai légal, soit le 5 septembre 2014, dans la boîte aux lettres du preneur d’assurance et de l’assuré, mais que le pli a été retiré par l’épouse de l’assuré le lendemain, on peut en l’occurrence légitimement considérer que ledit courrier est parvenu à son destinataire le samedi 6 septembre 2014. En effet, compte tenu du fait que, d’une part, la même adresse sert à la fois de siège au preneur d’assurance et de domicile à l’assuré et que, d’autre part, la capacité de travail de ce dernier sur les chantiers était de 30% le 5 septembre 2014, il est vraisemblable que personne n’ait été présent au siège de la demanderesse, respectivement au domicile de l’assuré, pour réceptionner le recommandé en question et aller le retirer au guichet postal le même jour. La résiliation étant parvenue à la demanderesse le 6 septembre 2014, soit le lendemain du jour où l’avis de retrait a été déposé dans sa boîte aux lettres, la chambre de céans a conclu que la défenderesse n’avait pas observé le délai péremptoire de résiliation prévu par l’art. 6 al. 2 LCA, ce qui a pour conséquence le maintien du contrat d’assurance avec le même contenu. La demande en constatation est ainsi bien fondée.</w:t>
      </w:r>
    </w:p>
    <w:p>
      <w:r>
        <w:rPr>
          <w:b/>
        </w:rPr>
        <w:t>E. 6</w:t>
      </w:r>
    </w:p>
    <w:p>
      <w:r>
        <w:t>Reste à examiner si la demanderesse, en tant que preneur d’assurance, a qualité pour agir au fond pour le compte de son employé assuré, en d’autres termes, si elle a la légitimation active pour conclure au paiement d’indemnités journalières. La légitimation active ou passive dans un procès civil relève du fondement matériel de l'action; elle appartient au sujet (actif ou passif) du droit invoqué en justice et son absence entraîne, non pas l'irrecevabilité de la demande, mais son rejet (ATF 128 III 50 consid. 2b/bb p. 55 et les références). En matière d'assurance collective contre les accidents ou la maladie, l'art. 87 LCA - de nature impérative (cf. art. 98 LCA) - confère un droit propre à l'assuré, qu'il peut faire valoir contre l'assureur. Ce droit propre a pour conséquence que seul le bénéficiaire (assuré) est titulaire de la prestation d'assurance (ATF 141 III 112 consid. 4.3 ; ATF 87 II 376 consid. 2a ; entre autres auteurs: Vincent BRULHART, L'assurance collective contre la perte de gain en cas de maladie, in Le droit social dans la pratique de l'entreprise, 2006, p. 103). Ce contrat (ou, plus correctement, son mode d'exécution) peut être comparé à une stipulation pour autrui parfaite: le tiers dispose d'un droit de créance propre contre le promettant et peut agir en exécution dès que la créance est exigible, le débiteur ne pouvant par ailleurs se libérer qu'en faisant sa prestation au tiers</w:t>
      </w:r>
    </w:p>
    <w:p>
      <w:r>
        <w:t>A/204/2015 - 12/14 - (art. 112 al. 2 CO ; arrêt du Tribunal fédéral 5C.3/2003 du 31 mars 2003 consid. 3.3). Dans la mesure où l’assuré dispose d’un droit direct contre l’assureur, l’employeur est libéré de obligation de payer le salaire. Ce dernier ne peut toutefois pas faire valoir une prétention indépendante à l’encontre de l’assureur sur la base du contrat qu’il a conclu en faveur de son employé (ATF 120 V 38 consid. 3 bb ; Vincent BRUHLART, Droit des assurances privées, 2008, p. 368). Le fait que le preneur d'assurance (employeur) et l'assureur puissent convenir du versement des indemnités journalières à l'employeur ne change rien aux considérations qui précèdent. Ce type de clauses contractuelles n'a trait qu'aux modalités d'encaissement des cotisations et de versement des indemnités journalières. Dans l'un et l'autre cas, le preneur d'assurance (employeur de l'assuré) accomplit une tâche administrative définie par le contrat d'assurance, en ce sens qu'il lui appartient, d'une part de verser les cotisations d'assurance à la caisse - ce qui ne signifie pas que c'est lui qui les paie effectivement ou entièrement - et d'autre part d'encaisser les indemnités journalières, lesquelles sont cependant dues à l'assuré, et non pas à lui (cf. ATF 141 III 112 consid.</w:t>
      </w:r>
    </w:p>
    <w:p>
      <w:r>
        <w:rPr>
          <w:b/>
        </w:rPr>
        <w:t>E. 7</w:t>
      </w:r>
    </w:p>
    <w:p>
      <w:r>
        <w:t>Aux termes de l'art. 106 al. 1 CPC, les frais sont mis à la charge de la partie succombante, soit notamment, le demandeur lorsque le tribunal n'entre pas en matière. Selon l'alinéa 2 de ce même article, lorsqu'aucune des parties n'obtient entièrement gain de cause, les frais sont répartis selon le sort de la cause. L'art. 22 de la loi d'application du code civil suisse et d’autres lois fédérales en matière civile du 11 octobre 2012 (LaCC - E 1 05) dispose notamment qu'il n'est pas alloué de dépens à la charge de l'assuré, dans les causes portant sur les assurances complémentaires à l'assurance-maladie obligatoire prévue par la LAMal. Les cantons sont compétents pour fixer le tarif des frais comprenant des dépens (art. 96 CPC en relation avec l'art. 95 al. 3 let. b CPC). À Genève, le règlement fixant le tarif des frais en matière civile du 22 décembre 2010 (RTFMC - E 1 05.10) détermine notamment le tarif des dépens, applicable aux affaires civiles contentieuses (art. 1 RTFMC). Dans les contestations portant sur des affaires pécuniaires, le défraiement d'un représentant professionnel est, en règle générale, proportionnel à la valeur</w:t>
      </w:r>
    </w:p>
    <w:p>
      <w:r>
        <w:t>A/204/2015 - 13/14 - litigieuse. Il est fixé, dans les limites figurant dans le RTFMC, d'après l'importance de la cause, ses difficultés, l'ampleur du travail et le temps employé. Lorsque la valeur litigieuse ne peut pas être chiffrée, le défraiement est fixé librement d'après les autres éléments d'appréciation précités (art. 84 et 85 al. 2 RTFMC ; art. 20 al. 1 et 2 LaCC). En principe, lorsque l'action ne porte pas sur une somme d'argent déterminée, la valeur litigieuse doit être estimée (art. 91 al. 2 CPC). En l'espèce, la conclusion recevable de la demanderesse tendant au maintien du contrat d'assurance ne porte pas sur une somme d'argent déterminée. Alors que l'art. 51 al. 2 LTF prévoit dans ce cas simplement que le Tribunal fédéral fixe la valeur litigieuse selon son estimation, l'art. 91 al. 2 CPC s'en remet pour cela au premier chef aux parties: c'est seulement si celles-ci n'arrivent pas à s'entendre sur ce point ou si la valeur qu'elles avancent est manifestement erronée que le tribunal déterminera lui-même la valeur litigieuse. Sous réserve des règles spéciales des art. 92 à 94 CPC, les règles d'estimation applicables ne sont pour le surplus pas fixées par la loi. Les principes dégagés sur la base des art. 36 aOJ puis 51 LTF devraient être intégralement transposables (Denis TAPPY, Code de procédure civile commenté, 2011, n. 42 ss ad art. 91 CPC). Selon ces principes, la valeur à prendre en considération est normalement la valeur vénale du bien ou de la prestation considérée. S'il s'agit d'une prestation ou d'une abstention impossible à estimer objectivement, il faut évaluer l'intérêt qu'elle présente pour le demandeur, respectivement celui que présente son refus pour le défendeur et retenir le montant le plus haut, toujours déterminé le plus objectivement possible (TAPPY, op. cit., n. 46 ad art. 91 CPC). En l'espèce, les dépens dus à titre de défraiement de l'avocat constitué pour la demanderesse seront par conséquent arrêtés notamment en tenant compte des critères fixés à l'art. 84 RTFMC, à savoir l'importance de la cause, sa difficulté, l'ampleur du travail et le temps employé (art. 85 al. 2 RTFMC). La présente cause a donné lieu à deux échange d'écritures, le premier totalisant pour chaque partie une dizaine de pages et le second la moitié moins. Si les faits ne présentent pas de difficultés particulières, les questions juridiques soulevées peuvent cependant être qualifiées d'une complexité moyenne. Au vu de ce qui précède et eu égard au fait que la demanderesse, représentée par un conseil, a obtenu partiellement gain de cause, la défenderesse est condamnée à lui verser une indemnité de CHF 2'400.- à titre de dépens, TVA et débours inclus (art. 95 al. 3 et 106 al. 1 et 2 CPC ; art. 25 et 26 LaCC). Pour le surplus, la procédure est gratuite (art. 114 let. e CPC et 22 al. 3 let.b LaCC).</w:t>
      </w:r>
    </w:p>
    <w:p>
      <w:r>
        <w:t>A/204/2015 - 14/14 -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