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ATAS/848/2020 vom 7. Oktober 2020</w:t>
      </w:r>
    </w:p>
    <w:p>
      <w:r>
        <w:t>GE Cour de justice, 2020-10-07, FR</w:t>
      </w:r>
    </w:p>
    <w:p>
      <w:r>
        <w:rPr>
          <w:b/>
        </w:rPr>
        <w:t xml:space="preserve">Quelle: </w:t>
      </w:r>
      <w:r>
        <w:t>https://mcp.opencaselaw.ch/entscheid/ge_gerichte_ATAS_848_2020</w:t>
      </w:r>
    </w:p>
    <w:p>
      <w:r>
        <w:t>FR: GE_GERICHTE ATAS/848/2020 du 7 octobre 2020</w:t>
      </w:r>
    </w:p>
    <w:p>
      <w:r>
        <w:t>IT: GE_GERICHTE ATAS/848/2020 del 7 ottobre 2020</w:t>
      </w:r>
    </w:p>
    <w:p>
      <w:pPr>
        <w:pStyle w:val="Heading2"/>
      </w:pPr>
      <w:r>
        <w:t>Erwägungen</w:t>
      </w:r>
    </w:p>
    <w:p>
      <w:r>
        <w:rPr>
          <w:b/>
        </w:rPr>
        <w:t>E. 8</w:t>
      </w:r>
    </w:p>
    <w:p>
      <w:r>
        <w:t>Le 11 juin 2020, la recourante a informé l’intimé qu’elle contestait la décision du 14 avril 2020. Elle avait dû fermer l’établissement sur ordre fédéral. Il était exact qu’elle avait envoyé les documents un peu tardivement, mais, à l’époque, elle était choquée. Elle venait d’ouvrir à peine sept mois auparavant et ne savait pas comment faire avec du personnel à charge. Au moment de la demande, tout était fermé. Même sa fiduciaire fonctionnait au ralenti. Elle s’excusait d’avoir pris du temps pour se faire une idée. Elle avait quand même payé les salaires de son personnel. Elle demandait à l’intimé de revenir sur sa décision, car sa survie en dépendait.</w:t>
      </w:r>
    </w:p>
    <w:p>
      <w:r>
        <w:rPr>
          <w:b/>
        </w:rPr>
        <w:t>E. 9</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du refus de l’intimé de verser à la recourante l’indemnité en cas de RHT pour la période du 17 mars au 12 avril 2020. 4. Selon l’art. 31 al. 1 LACI, les travailleurs dont la durée normale de travail est réduite ou l’activité suspendue ont droit à l’indemnité en cas de RHT, à certaines conditions. 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et le préavis est renouvelé lorsque la RHT dure plus de trois mois.</w:t>
      </w:r>
    </w:p>
    <w:p>
      <w:r>
        <w:t>A/1356/2020 - 4/6 - L’employeur doit remettre le préavis à l’organe compétent ou à la Poste au plus tard le dixième jour qui précède le début de la RHT (art. 29 al. 3 LPGA). Pour lutter contre l’épidémie de coronavirus (ci-après : COVID-19), le Conseil fédéral a pris une série de mesures urgentes. Le 13 mars 2020, il a adopté l’ordonnance 2 COVID-19, qui limitait l’accueil dans les restaurants à 50 personnes (art. 6 al. 4). Le 17 mars 2020, le Conseil fédéral a modifié cette ordonnance en ordonnant cette fois la fermeture des restaurants (art. 6 al. 2 let. b). Le 20 mars 2020, le Conseil fédéral a adopté l’ordonnance COVID-19 assurance- 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Dans la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Pendant cette période particulière, la date du préavis de RHT correspondait ainsi au début de la RHT et au début de l’indemnisation.</w:t>
      </w:r>
    </w:p>
    <w:p>
      <w:r>
        <w:t>A/1356/2020 - 5/6 - 5. a. En l’espèce, la recourante gère un restaurant qui a dû fermer le 16 mars 2020 en exécution de l’art. 6 de l’ordonnance 2 COVID-19. Ce n’est toutefois que le</w:t>
      </w:r>
    </w:p>
    <w:p>
      <w:r>
        <w:rPr>
          <w:b/>
        </w:rPr>
        <w:t>E. 13</w:t>
      </w:r>
    </w:p>
    <w:p>
      <w:r>
        <w:t>avril 2020 qu’elle a déposé un préavis de RHT avec effet au 17 mars 2020. Comme cela ressort des considérants précités, jusqu’au 31 mai 2020, seul le délai de préavis de 10 jours a été supprimé. Ainsi, la recourante avait droit à l’indemnité en cas de RHT dès le jour de sa demande à l’intimé, sans effet rétroactif. Dès lors qu’elle a communiqué son préavis de RHT par courriel du 13 avril 2020 à l’intimé, c’est à juste titre que ce dernier lui a octroyé l’indemnité en cas de RHT à compter de cette date seulement. b. Le fait que le recourante ne maîtrise pas la partie administrative de son activité ne permet pas d’en juger autrement, étant rappelé que nul n'est censé ignorer la loi et nul ne peut tirer des avantages de son ignorance du droit (ATF 124 V 215 consid. 2b/aa p. 220 et arrêt du Tribunal fédéral 9C_97/2009 du 14 octobre 2009 consid. 3.3). c. La recourante ne peut enfin pas se prévaloir du fait que sa gérante était choquée par la situation liée au COVID-19 et qu’elle craignait de se déplacer par peur de contaminer sa famille. En effet, rien ne l’empêchait sérieusement de se déplacer en prenant des précautions et en respectant les distances de sécurité, notamment. 6. Infondé, le recours doit être rejeté et la décision sur opposition confirmée. 7. La procédure est gratuite.</w:t>
      </w:r>
    </w:p>
    <w:p>
      <w:r>
        <w:t>A/1356/2020 - 6/6 -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