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ATAS/848/2019 vom 23. September 2019</w:t>
      </w:r>
    </w:p>
    <w:p>
      <w:r>
        <w:t>GE Cour de justice, 2019-09-23, FR</w:t>
      </w:r>
    </w:p>
    <w:p>
      <w:r>
        <w:rPr>
          <w:b/>
        </w:rPr>
        <w:t xml:space="preserve">Quelle: </w:t>
      </w:r>
      <w:r>
        <w:t>https://mcp.opencaselaw.ch/entscheid/ge_gerichte_ATAS_848_2019</w:t>
      </w:r>
    </w:p>
    <w:p>
      <w:r>
        <w:t>FR: GE_GERICHTE ATAS/848/2019 du 23 septembre 2019</w:t>
      </w:r>
    </w:p>
    <w:p>
      <w:r>
        <w:t>IT: GE_GERICHTE ATAS/848/2019 del 23 settembre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supérieure à une demi-rente, singulièrement sur la détermination de son statut, étant constaté que l’intimé, dans sa dernière écriture, a proposé l’octroi d’une demi-rente d’invalidité fondée sur un degré d’invalidité de 53 %. Il convient encore de constater que l’avocat de la recourante a cessé de représenter celle-ci en cours de procédure et qu’il en a informé la chambre de céans le 7 mai 2019 ; en conséquence, l’information donnée par l’avocat dans ce même courrier, selon laquelle la recourante se rangeait aux dernières conclusions de l’intimé, ne peut être prise en compte.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A/3030/2018 - 11/19 -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w:t>
      </w:r>
    </w:p>
    <w:p>
      <w:r>
        <w:t>A/3030/2018 - 12/19 -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t>A/3030/2018 - 13/19 -</w:t>
      </w:r>
    </w:p>
    <w:p>
      <w:r>
        <w:rPr>
          <w:b/>
        </w:rPr>
        <w:t>E. 10</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Selon les dispositions transitoires de cette modification, pour les trois-quarts de rentes, demi-rentes et quarts de rentes en cours octroyés en application de la méthode mixte avant l'entrée en vigueur de la modification du 1er décembre 2017, une révision doit être initiée dans le délai d'un an après l'entrée en vigueur de la présente modification. Une éventuelle augmentation de la rente prend effet au moment de l'entrée en vigueur de la présente modification.</w:t>
      </w:r>
    </w:p>
    <w:p>
      <w:r>
        <w:rPr>
          <w:b/>
        </w:rPr>
        <w:t>E. 11</w:t>
      </w:r>
    </w:p>
    <w:p>
      <w:r>
        <w:t>a. Chez les assurés travaillant dans le ménage, le degré d'invalidité se détermine, en règle générale, au moyen d'une enquête économique sur place, alors que l'incapacité</w:t>
      </w:r>
    </w:p>
    <w:p>
      <w:r>
        <w:t>A/3030/2018 - 14/19 -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w:t>
      </w:r>
    </w:p>
    <w:p>
      <w:r>
        <w:t>A/3030/2018 - 15/19 - médecin à une nouvelle estimation des empêchements rencontrés dans les activités habituelles (VSI 2004 p. 136 consid. 5.3 et VSI 2001 p. 158 consid. 3c ; arrêts du Tribunal fédéral des assurances I 308/04 et I 309/04 du 14 janvier 2005).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13</w:t>
      </w:r>
    </w:p>
    <w:p>
      <w:r>
        <w:t>En vertu des art. 28 al. 1 et 29 al. 1 LAI (dans leur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w:t>
      </w:r>
    </w:p>
    <w:p>
      <w:r>
        <w:t>A/3030/2018 - 16/19 - d’une période de six mois à compter de la date à laquelle l’assuré a fait valoir son droit aux prestations conformément à l’art. 29 al. 1 LPGA.</w:t>
      </w:r>
    </w:p>
    <w:p>
      <w:r>
        <w:rPr>
          <w:b/>
        </w:rPr>
        <w:t>E. 14</w:t>
      </w:r>
    </w:p>
    <w:p>
      <w:r>
        <w:t>a. En l’occurrence, il convient de déterminer le statut de la recourante. Le taux de travail effectif de la recourante, dans les derniers emplois exercés, soit depuis le 25 juillet 2013 jusqu’au 14 juillet 2015 (date de l’incapacité de travail totale retenue par l’expert), a été le suivant, compte tenu des trois emplois exercés auprès d’Y_____ S.A. puis de H______ S.A., de L______ S.A. et de L______ Sàrl : Y_____ S.A. / H______ S.A. - Dès le 25 juillet 2013 à raison de 7 heures par semaine, soit un taux de 23 % ; L______ S.A. - Du 31 juillet au 31 août 2013, (1 mois) à raison de 8h et 25 minutes par semaine, soit un taux de 19,6 % (8,42h : 43h) ; - Du 1er septembre au 30 septembre 2013, (1 mois) à raison de 11h et 25 minutes par semaine soit un taux de 26,6 % (11,42h : 43h) ; - Du 1er octobre 2013 au 31 juillet 2014, (10 mois) à raison de 6h et 25 minutes par semaine, soit un taux de 14,9 % (6,42h : 43h) ; - Du 1er août 2014 au 14 juillet 2015, (12 mois) à raison de 8h et 25 minutes par semaine, soit un taux de 19,6 % (8,42h : 43h). L______ Sàrl - Du 3 octobre 2013 au 31 juillet 2014, (10 mois) à raison de 7 heures par semaine, soit un taux de 16,3 % (7h : 43h). La moyenne du taux de travail effectué entre le 25 juillet 2013 et le 14 juillet 2015 pour L______ S.A. et L______ Sàrl est ainsi de 24,7 % (13 mois au taux de 19,6 %, 10 mois au taux de 31,2 % [14,9 % + 16,3 %] et 1 mois au taux de 26,6 %). Cumulé avec le taux de 23 % effectué pour Y_____ S.A. puis H______ S.A., le taux d’activité total est de 47,7 %. L’intimé a conclu, pour cette même période, à un taux d’activité total de 44 %. Cette différence s’explique par le fait que l’intimé s’est basé, d’une part, sur le taux de travail calculé par L______ S.A. sur la base d’un horaire hebdomadaire normal de l’entreprise erroné, soit 44 heures au lieu de 43 heures (courrier de L______ S.A. du 16 janvier 2019), d’autre part sur une période plus longue, soit de juillet 2013 à juillet 2016, alors que la recourante a été en incapacité de travail totale dès le 14 juillet 2015, de sorte qu’il ne se justifie pas de tenir compte de la période du</w:t>
      </w:r>
    </w:p>
    <w:p>
      <w:r>
        <w:rPr>
          <w:b/>
        </w:rPr>
        <w:t>E. 15</w:t>
      </w:r>
    </w:p>
    <w:p>
      <w:r>
        <w:t>En conséquence, le recours sera partiellement admis, la décision litigieuse annulée et il sera dit que la recourante a droit à un trois-quarts de rente d’invalidité dès le 1er juillet 2016. La recourante ayant été représentée par un avocat depuis le dépôt de son recours, le 5 septembre 2018, jusqu’au 7 mai 2019, il convient de lui allouer une indemnité de CHF 1'000.-.</w:t>
      </w:r>
    </w:p>
    <w:p>
      <w:r>
        <w:rPr>
          <w:b/>
        </w:rPr>
        <w:t>E. 16</w:t>
      </w:r>
    </w:p>
    <w:p>
      <w:r>
        <w:t>Etant donné que depuis le 1er juillet 2006, la procédure n'est plus gratuite (art. 69 al. 1bis LAI), il y a lieu de condamner l’intimé au paiement d'un émolument de CHF 200.-. * * * * * *</w:t>
      </w:r>
    </w:p>
    <w:p>
      <w:r>
        <w:t>A/3030/2018 - 19/19 -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