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ATAS/848/2017 vom 3. Oktober 2017</w:t>
      </w:r>
    </w:p>
    <w:p>
      <w:r>
        <w:t>GE Cour de justice, 2017-10-03, FR</w:t>
      </w:r>
    </w:p>
    <w:p>
      <w:r>
        <w:rPr>
          <w:b/>
        </w:rPr>
        <w:t xml:space="preserve">Quelle: </w:t>
      </w:r>
      <w:r>
        <w:t>https://mcp.opencaselaw.ch/entscheid/ge_gerichte_ATAS_848_2017</w:t>
      </w:r>
    </w:p>
    <w:p>
      <w:r>
        <w:t>FR: GE_GERICHTE ATAS/848/2017 du 3 octobre 2017</w:t>
      </w:r>
    </w:p>
    <w:p>
      <w:r>
        <w:t>IT: GE_GERICHTE ATAS/848/2017 del 3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supérieure à 22% et à une IPAI fondée sur un taux supérieur à 12%.</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A/542/2017 - 12/27 -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A/542/2017 - 13/27 - l’expert soient bien motivées (ATF 125 V 351 consid. 3; ATF 122 V 157 consid. 1c).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t>A/542/2017 - 14/27 -</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l'intimée a retenu que seules les atteintes au membre supérieur gauche devaient être prises en compte dans la détermination de la capacité de travail du recourant, à l'exclusion des cervicalgies et des troubles psychiques, lesquels n'étaient pas en lien de causalité avec l'accident assuré, ce que le recourant conteste. S'agissant du membre supérieur gauche, il n'est pas contesté par les parties, ni contestable au vu des pièces versées au dossier, que le recourant a présenté une fracture-luxation complexe du coude gauche, avec ouverture cutanée, une synostose radio-cubitale supérieure, une ostéosynthèse, l’évolution vers une algodystrophie et une compression du nerf cubital gauche. Il n'est pas non plus contesté que ces atteintes entraînent une incapacité de travail totale dans l'activité habituelle du recourant (rapport du Dr H_______ du 29 septembre 2014; rapport du Dr K_______ du 7 janvier 2016). S'agissant de la capacité de travail résiduelle du recourant, l'intimée s'est fondée sur l'appréciation du Dr K_______, lequel a retenu une pleine capacité de travail, sans baisse de rendement, dans une activité réalisée indifféremment en position debout ou assise, avec un port de charge limité à 20 kg du côté droit, de façon occasionnelle et de façon à ne pas déstabiliser ou compenser avec le côté gauche, avec un port de charge maximale et occasionnelle de 1 kg du côté gauche, la main gauche n’ayant qu’une fonction accessoire de stabilisation, sans devoir monter sur une échelle et sans devoir s’agenouiller. La Chambre de céans constate que le rapport du Dr K_______ se base sur des examens du recourant et sur son dossier médical. L'anamnèse est complète et les plaintes ont été prises en considération. La description et l'appréciation de la situation médicale sont claires. Ce spécialiste s'est exprimé sur l'état de santé du recourant et sur sa capacité de travail. Ses conclusions sont cohérentes, convaincantes et ne laissent pas apparaître de contradictions. On relèvera par ailleurs qu'aucun autre spécialiste n'a émis de conclusions permettant de s'écarter de cette exigibilité, soit une capacité de travail entière dans une activité adaptée, laquelle a été par ailleurs confirmée par le Dr L______ qui a également précisé que les limitations fonctionnelles retenues par le Dr K_______</w:t>
      </w:r>
    </w:p>
    <w:p>
      <w:r>
        <w:t>A/542/2017 - 15/27 - comprenaient, de toute évidence, l'absence de mouvement répétitif avec le membre supérieur gauche et qu'elles englobaient donc largement les limitations fonctionnelles établies par le Dr H_______ (rapport du 13 avril 2017). Enfin, contrairement à ce qu'avance le recourant, ce dernier ne se trouve pas dans la situation d'un mono-manuel, dans la mesure où il peut tout de même utiliser occasionnellement son membre supérieur gauche avec sa main gauche fonctionnant comme stabilisateur pour des efforts correspondant à des charges de moins de 1 kg. C'est ainsi à juste titre que l'intimée a retenu qu'en raison de ses atteintes au membre supérieur gauche, le recourant présente une pleine capacité de travail dans une activité adaptée. Le recourant fait valoir que l'intimée a omis de prendre en compte les cervicalgies et les céphalées dans la détermination de sa capacité de travail. Il résulte du dossier que si le recourant s'est certes plaint de cervicalgies lors de sa première hospitalisation (rapport des Drs D_______ et E_______ du 10 janvier 2012), il n'en demeure pas moins que ni le bilan radiologique par total body CT réalisé aux urgences des HUG, ni l'IRM cervicale effectuée le 18 juin 2013 n'ont mis en évidence de lésion traumatique au niveau cervical (rapport des Drs D_______ et E_______ du 10 janvier 2012; rapport du Dr G_______ du 26 juin 2013; rapport du Dr L______ du 13 avril 2017). En outre, lors de l'accident, le recourant n'a subi ni de traumatisme crânien, ni de perte de connaissance (rapport des Drs D_______ et E_______ du 10 janvier 2012). Force est donc de constater l'absence de pièce médicale permettant de retenir que les cervicalgies et les céphalées alléguées par le recourant sont en lien de causalité naturelle avec l'accident assuré. Le recourant fait également valoir qu'il présente des troubles psychiques qui doivent être pris en considération pour déterminer sa capacité de travail résiduelle. La Chambre de céans constate déjà l'absence au dossier d'une appréciation médicale relative à l'existence d'un lien de causalité naturelle entre d'éventuels troubles psychiques et l'accident. Quoi qu'il en soit, une instruction complémentaire sur ce point ne saurait toutefois être mise en œuvre par la Chambre de céans, dès lors que le lien de causalité adéquate devrait être nié pour les motifs qui suivent.</w:t>
      </w:r>
    </w:p>
    <w:p>
      <w:r>
        <w:rPr>
          <w:b/>
        </w:rPr>
        <w:t>E. 10</w:t>
      </w:r>
    </w:p>
    <w:p>
      <w:r>
        <w:t>Le droit à des prestations suppose, outre un lien de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Dans le cas de troubles psychiques additionnels à une atteinte à la santé physique, le caractère adéquat du lien de causalité suppose que l'accident ait eu une importance déterminante dans leur déclenchement. La jurisprudence a tout d'abord</w:t>
      </w:r>
    </w:p>
    <w:p>
      <w:r>
        <w:t>A/542/2017 - 16/27 -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t>A/542/2017 - 17/27 -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11</w:t>
      </w:r>
    </w:p>
    <w:p>
      <w:r>
        <w:t>En l'occurrence, l'intimée a retenu que l'accident doit être classé dans les accidents de gravité moyenne. D'après la casuistique en matière de chutes d'une certaine hauteur, ont été considérées comme faisant partie de la limite supérieure de la catégorie des accidents de gravité moyenne, les chutes qui se sont produites d'une hauteur entre 5 m et 8 m et qui ont entraîné des lésions osseuses relativement sévères (arrêt du</w:t>
      </w:r>
    </w:p>
    <w:p>
      <w:r>
        <w:t>A/542/2017 - 18/27 - Tribunal fédéral 8C_463/2014 du 24 juin 2015 consid. 5.2.2 et les références citées). En l'espèce, si le Dr I_______ a certes fait état, trois ans après l'accident, d'une chute d'environ 5 m, il convient toutefois d'accorder la préférence au premier rapport établi immédiatement après l'accident et selon lequel le recourant a fait une chute de 4 m (rapport des Drs D_______ et E_______ du 10 janvier 2012). L'accident doit par conséquent être considéré comme étant de gravité moyenne stricto sensu, ce que le recourant ne conteste au demeurant pas. Dans une telle éventualité, il faut un cumul de trois critères sur les sept ou au moins que l'un des critères retenus se soit manifesté de manière particulièrement marquante pour l'accident (arrêt du Tribunal fédéral 8C_434/2013 du 7 mai 2014 consid. 7.1 et les arrêts cités). Selon l'intimée, il n'y a pas eu de circonstances concomitantes particulièrement dramatiques et l'accident ne revêtait pas un caractère particulièrement impressionnant, ce que le recourant conteste, en faisant valoir que les circonstances de l'accident ont été vécues de manière traumatisante. La Chambre de céans rappellera que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l'occurrence, le recourant ne fait état d'aucun élément qui aurait rendu le déroulement de l'accident particulièrement impressionnant. S'il a certes chuté d'une hauteur de 4 m, il n'a toutefois pas perdu connaissance et n'a pas subi de traumatisme crânien. Le Tribunal fédéral a par exemple nié que la condition du caractère impressionnant de l'accident fût remplie dans le cas d'un travailleur qui était tombé d'un élévateur d'une hauteur de 5,6 m (arrêt du Tribunal fédéral 8C_807/2008 du 15 juin 2009) ou d'un travailleur qui avait chuté d'une échelle d'une hauteur d'environ 4,5 m dans une fouille (arrêt du Tribunal fédéral U 144/05 du 27 décembre 2005; arrêt du Tribunal fédéral du 30 novembre 2005 U 21/06 consid. 4.5). C'est donc à juste titre que l'intimée a nié ce critère. Par ailleurs, si le recourant a certes présenté au coude gauche une fracture luxation ouverte associée à une rupture du ligament huméro-ulnaire, il n’a toutefois manifestement pas subi de lésions graves ou particulières à la suite de cet</w:t>
      </w:r>
    </w:p>
    <w:p>
      <w:r>
        <w:t>A/542/2017 - 19/27 - événement, ni menaçantes pour sa vie. On ajoutera que le fait de ne pas pouvoir garder le même poste de travail que celui effectué avant l'accident en raison de ces séquelles ne suffit pas à admettre ce critère (arrêt du Tribunal fédéral 8C_566/2013 du 18 août 2014 consid. 6.2.2). Par ailleurs, il apparaît que suite à l'intervention pratiquée le 16 décembre 2011, le contrôle radiologique a révélé une subluxation du coude gauche conduisant à une reprise chirurgicale le 23 décembre 2011, lors de laquelle une rupture du ligament huméro-ulnaire externe, un lâchage des deux points de fixation de la coronoïde et une mauvaise tenue de la tête radiale ont été mis en évidence. Un nouveau contrôle radiologique a ensuite révélé une subluxation du coude, de sorte qu'un fixateur externe a dû être réalisé le 31 décembre 2011 (rapport du 10 janvier 2012 des Drs D_______ et E_______). Cela étant, les pièces versées au dossier ne permettent toutefois pas de considérer que le recourant a été victime d'erreurs dans le traitement médical entraînant une aggravation notable des séquelles de l'accident. S'agissant de l'examen du critère de la durée anormalement longue du traitement médical, il faut uniquement prendre en compte le traitement thérapeutique nécessaire (arrêt du Tribunal fédéral des assurances U_369/05 du 23 novembre 2006 consid. 8.3.1). N'en font pas partie les mesures d'instruction médicale et les simples contrôles chez le médecin (arrêt du Tribunal fédéral des assurances U_393/05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arrêt du Tribunal fédéral des assurances U.92/06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U_380/04 du 15 mars 2004 consid. 5.2.4 in RAMA 2005 n° U 549 p. 239). En l'occurrence, si le recourant a certes subi initialement trois interventions chirurgicales (les 16, 23 et 31 décembre 2011) et une ablation du matériel d'ostéosynthèse (le 7 février 2012), le traitement médical a ensuite consisté en des séances de physiothérapie et la prise d’antalgiques, sous réserve de l'ablation du matériel d'ostéosynthèse et d'une arthrolyse du coude gauche (le 19 novembre 2013) et d'une neurolyse au coude et au poignet gauches (le 10 février 2015). Il s'ensuit que le traitement ne saurait être considéré comme ayant été objectivement lourd et pénible. S'agissant de l'intensité des douleurs, il faut que des douleurs importantes aient existé sans interruption notable durant tout le temps écoulé entre l'accident et la clôture du cas (art. 19 al. 1 LAA). L'intensité des douleurs est examinée au regard notamment de l'empêchement qu'elles entraînent dans la vie quotidienne (ATF 134 V 109 consid. 10.2.4). En l'occurrence, s'il apparaît que le recourant a présenté</w:t>
      </w:r>
    </w:p>
    <w:p>
      <w:r>
        <w:t>A/542/2017 - 20/27 - pendant un certain temps des douleurs physiques constantes, aucune pièce au dossier ne permet toutefois de retenir qu'elles ont été impressionnantes, ni qu'elles ont entraîné des empêchements sévères dans sa vie quotidienne. Qui plus est, à compter de l'intervention chirurgicale effectuée le 10 février 2015, les douleurs ont été maîtrisées (rapports du Dr I_______ des 9 décembre 2015 et 8 juin 2016). Enfin, le critère de la durée de l'incapacité de travail semble être rempli, étant donné que le recourant ne peut plus exercer son activité habituelle. Toutefois, ce dernier demeure capable de travailler à plein temps dans un autre secteur d'activités, de sorte que ce critère ne présente pas un caractère suffisamment marqué. Ainsi, en l'absence d'un cumul de trois critères ou d'un seul critère revêtant une intensité particulière, force est de constater que l'accident subi le 15 décembre 2011 ne peut être tenu pour la cause adéquate des éventuels troubles psychiques que présenterait le recourant. Dans la mesure où le caractère adéquat et le caractère naturel de la relation de causalité doivent être cumulés pour octroyer des prestations d'assurance-accidents, il n'est pas nécessaire de mettre en oeuvre une expertise psychiatrique, comme le réclame le recourant. Partant, la question du lien de causalité naturelle entre ces troubles et l'accident peut rester indécise. C’est ainsi à juste titre que l’intimée a refusé de prendre en considération les répercussions des éventuels troubles psychiques sur la capacité de travail du recourant pour déterminer son degré d’invalidité. Enfin, le recourant fait valoir qu'il a été contraint d'interrompre le stage d'orientation professionnelle de l'OAI en raison de troubles lombaires entraînant une incapacité de travail totale du 24 février au 24 avril 2017. La Chambre de céans relèvera déjà que cette incapacité de travail ne saurait être prise en compte dans la mesure où les troubles lombaires, au vu des pièces versées au dossier, ne sont pas en lien de causalité naturelle avec l'accident. Qui plus est, cette incapacité de travail est survenue postérieurement à la date de la décision litigieuse (le 13 janvier 2017).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Compte tenu de ce qui précède, le recourant présente une incapacité de travail totale dans son activité habituelle et une capacité de travail totale sans baisse de rendement dans une activité adaptée, soit dans une activité réalisée indifféremment en position debout ou assise, avec l'absence de mouvement répétitif avec le membre supérieur gauche avec un port de charge limité à 20 kg du côté droit, de façon occasionnelle et de façon à ne pas déstabiliser ou compenser avec le côté gauche, avec un port de charge maximale et occasionnelle de 1 kg du côté gauche, la main</w:t>
      </w:r>
    </w:p>
    <w:p>
      <w:r>
        <w:t>A/542/2017 - 21/27 - gauche n’ayant qu’une fonction accessoire de stabilisation, sans devoir monter sur une échelle et sans devoir s’agenouiller.</w:t>
      </w:r>
    </w:p>
    <w:p>
      <w:r>
        <w:rPr>
          <w:b/>
        </w:rPr>
        <w:t>E. 12</w:t>
      </w:r>
    </w:p>
    <w:p>
      <w:r>
        <w:t>Il convient d'examiner le degré d'invalidité que présente le recourant, étant précisé qu'une éventuelle évaluation de l'invalidité par les organes de l'assurance-invalidité n'a pas de force contraignante pour l'assureur-accidents (ATF 131 V 362 consid. 2.3).</w:t>
      </w:r>
    </w:p>
    <w:p>
      <w:r>
        <w:rPr>
          <w:b/>
        </w:rPr>
        <w:t>E. 13</w:t>
      </w:r>
    </w:p>
    <w:p>
      <w:r>
        <w:t>a.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w:t>
      </w:r>
    </w:p>
    <w:p>
      <w:r>
        <w:t>A/542/2017 - 22/27 - de l’évaluation du revenu avec ou sans invalidité (arrêt du Tribunal fédéral I.290/04 du 28 décembre 2004 et les références). Ce n'est qu'en présence de circonstances particulières qu'il peut se justifier qu'on s'en écarte et qu'on recoure aux données statistiques résultant des ESS édité par l'Office fédéral de la statistique (arrêts du Tribunal fédéral des assurances I.168/05 du 24 avril 2006 consid. 3.3 et B.80/01 du</w:t>
      </w:r>
    </w:p>
    <w:p>
      <w:r>
        <w:rPr>
          <w:b/>
        </w:rPr>
        <w:t>E. 17</w:t>
      </w:r>
    </w:p>
    <w:p>
      <w:r>
        <w:t>octobre 2003 consid. 5.2.2).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14. En l’occurrence, le droit à une rente d’invalidité s’est ouvert en 2016, de sorte que la comparaison des salaires doit se faire au regard de cette année-là.</w:t>
      </w:r>
    </w:p>
    <w:p>
      <w:r>
        <w:t>A/542/2017 - 23/27 - S’agissant du salaire annuel sans invalidité que le recourant aurait pu obtenir en 2016, c’est à juste titre que l’intimée a retenu CHF 71'155.- sur la base des informations fournies par l’employeur le 10 mars 2016 (pièce 259 chargé intimée), que le recourant ne conteste pas au demeurant. S’agissant du salaire avec invalidité en 2016, l’intimée a appliqué la méthode des DPT et a retenu cinq postes dans les cantons de Vaud et Genève. Ces DPT ont été établies en fonction des conditions salariales valables en 2016. On doit cependant donner raison au recourant en ce qui concerne l'incompatibilité des DPT n° 11555 (pompiste), n° 350284 (notificateur), n° 7237 (huissier) et n° 5825 (conducteur de palan) avec le handicap à la main gauche qu'il présente. Il ressort en effet de la description de ces postes de travail que l'usage des deux mains est "partiellement nécessaire", alors que le Dr K_______ a indiqué que la main gauche du recourant ne pouvait avoir qu'une fonction accessoire de stabilisation. On peine dès lors à envisager que le recourant puisse mettre à contribution cette main dans la mesure exigée par ces emplois. Etant donné que la méthode appliquée par l'intimée ne remplit pas les conditions imposées par la jurisprudence, on ne peut donc pas s'y référer pour évaluer l'invalidité du recourant. Il convient par conséquent d'effectuer un calcul sur la base des statistiques salariales. En se fondant sur l'ESS 2014, le salaire de référence est celui des hommes effectuant des activités simples et répétitives dans le secteur privé pour un niveau de qualification 1 (T1_tirage_skill_level), soit CHF 5'312.- x 12 mois, soit CHF 63'744.- par an.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9C_603/2015 du 25 avril 2016 consid. 8.1). Comme les salaires bruts standardisés tiennent compte d’un horaire de travail de 40 heures, durée inférieure à la moyenne en 2014 (41,7 heures hebdomadaires selon l’Office fédéral de la statistique), ce montant doit être porté à CHF 66'453.- (63'744 x 41.7 / 40) et à CHF 67'021.- indexé à 2016 selon l'évolution des salaires en termes nominaux pour les hommes (ISS, en 2014 : 2220 et en 2016 : 2239; soit CHF 66'453 x 2239 /2220).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w:t>
      </w:r>
    </w:p>
    <w:p>
      <w:r>
        <w:t>A/542/2017 - 24/27 -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w:t>
      </w:r>
    </w:p>
    <w:p>
      <w:r>
        <w:rPr>
          <w:b/>
        </w:rPr>
        <w:t>E. 18</w:t>
      </w:r>
    </w:p>
    <w:p>
      <w:r>
        <w:t>Représenté par un mandataire, le recourant, qui obtient partiellement gain de cause, a droit à une indemnité de CHF 3'000.- à titre de dépens (art. 61 let. g LPGA; art. 89 H de la loi sur la procédure administrative du 12 septembre 1985 [LPA – E 5 10]; art. 6 du règlement sur les frais, émoluments et indemnités en procédure administrative du 30 juillet 1986 [RFPA – E 5 10.03]).</w:t>
      </w:r>
    </w:p>
    <w:p>
      <w:r>
        <w:rPr>
          <w:b/>
        </w:rPr>
        <w:t>E. 19</w:t>
      </w:r>
    </w:p>
    <w:p>
      <w:r>
        <w:t>Pour le surplus, la procédure est gratuite (art. 61 let. a LPGA).</w:t>
      </w:r>
    </w:p>
    <w:p>
      <w:r>
        <w:t>A/542/2017 - 27/27 -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