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ATAS/847/2016 vom 20. Oktober 2016</w:t>
      </w:r>
    </w:p>
    <w:p>
      <w:r>
        <w:t>GE Cour de justice, 2016-10-20, FR</w:t>
      </w:r>
    </w:p>
    <w:p>
      <w:r>
        <w:rPr>
          <w:b/>
        </w:rPr>
        <w:t xml:space="preserve">Quelle: </w:t>
      </w:r>
      <w:r>
        <w:t>https://mcp.opencaselaw.ch/entscheid/ge_gerichte_ATAS_847_2016</w:t>
      </w:r>
    </w:p>
    <w:p>
      <w:r>
        <w:t>FR: GE_GERICHTE ATAS/847/2016 du 20 octobre 2016</w:t>
      </w:r>
    </w:p>
    <w:p>
      <w:r>
        <w:t>IT: GE_GERICHTE ATAS/847/2016 del 20 ottobre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et 62ss LPGA.</w:t>
      </w:r>
    </w:p>
    <w:p>
      <w:r>
        <w:t>A/3422/2015 - 15/22 -</w:t>
      </w:r>
    </w:p>
    <w:p>
      <w:r>
        <w:rPr>
          <w:b/>
        </w:rPr>
        <w:t>E. 5</w:t>
      </w:r>
    </w:p>
    <w:p>
      <w:r>
        <w:t>Le litige porte sur le point de savoir si l’intimé était fondé à rejeter la nouvelle demande de prestations du recourant du 5 janvier 2011. Concrètement, il convient d’établir si une aggravation de l’état de santé du recourant est apparue entre mars 2009 (rejet de la première demande de prestations) et août 2015 (rejet de la nouvelle demande de prestations) et, dans l’affirmative, si cette aggravation influence ou non son droit aux prestations.</w:t>
      </w:r>
    </w:p>
    <w:p>
      <w:r>
        <w:rPr>
          <w:b/>
        </w:rPr>
        <w:t>E. 6</w:t>
      </w:r>
    </w:p>
    <w:p>
      <w:r>
        <w:t>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b)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et 130 V 71 consid. 3.2;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A/3422/2015 - 16/22 -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D’après la jurisprudence, l'obésité n'est en soi pas constitutive d'invalidité, sauf si l'excédent de poids a provoqué une atteinte à la santé ou s'il est lui-même la conséquence d'un trouble de la santé et qu'ainsi, la capacité de gain est sensiblement réduite et ne peut être augmentée de façon importante par des mesures raisonnablement exigibles (arrêt du Tribunal fédéral 9C_48/2009 du 1er octobre 2009 consid. 2.3 ; RCC 1984 p. 359 consid. 3).</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w:t>
      </w:r>
    </w:p>
    <w:p>
      <w:r>
        <w:t>A/3422/2015 - 17/22 -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w:t>
      </w:r>
    </w:p>
    <w:p>
      <w:r>
        <w:t>A/3422/2015 - 18/22 -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A/3422/2015 - 19/22 -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l’espèce, il y a lieu de déterminer si l’état de santé du recourant s’est aggravé entre la décision du 30 mars 2009 et la décision querellée du 28 août 2015 et si cette aggravation influence ou non son droit aux prestations. Pour ce faire, il convient de procéder à une analyse comparative de la situation prévalant en 2009 et en 2015. a) En 2009, l’intimé a rejeté la première demande de prestations (degré d’invalidité de 10%) en se fondant sur l’avis du Dr C______, du SMR, du 10 novembre 2008, qui concluait à une incapacité totale à exercer l’activité habituelle et à une capacité de travail de 100% s’agissant d’une activité adaptée. Cet avis validait les conclusions du rapport du 30 octobre 2008 du Dr B______. b) En 2015, l’intimé retient que le recourant a une pleine capacité de travail dans son activité habituelle, en dehors de la période du 5 décembre 2011 à fin novembre 2012. L’incapacité de travail ayant duré moins d’une année, l’intimé considère que le droit aux prestations du recourant doit être nié. Pour parvenir à cette conclusion, il se fonde sur l’expertise de la Clinique Corela du 16 mai 2014 et l’avis du SMR du 18 août 2014 y relatif. Pour sa part, le recourant conteste la valeur probante de l’expertise, lui préférant les conclusions de ses médecins traitants. En réalité, la majeure partie de l’argumentation du recourant consiste à substituer sa propre appréciation et celles des Drs B______ et D______ à celles des experts de la Clinique Corela.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c) En l’occurrence, l’expertise de la Clinique Corela est fondée sur un examen rhumatologique de la Dresse F______, un examen de chirurgie viscérale du Dr H______, un examen psychiatrique du Dr G______, un examen du dossier sous</w:t>
      </w:r>
    </w:p>
    <w:p>
      <w:r>
        <w:t>A/3422/2015 - 20/22 - l’angle de la médecine interne générale du Dr I______ et une étude approfondie du dossier. Elle expose l’anamnèse du recourant et tient compte de ses plaintes. L’ensemble des conclusions des médecins traitants, en particulier les Drs B______ et D______, a été pris en compte et analysé à la lumière des résultats des examens cliniques, des documents d’imagerie, des déclarations du recourant et de l’ensemble des éléments du dossier. Contrairement à ce que soutient l’intéressé, les experts n’ont pas omis d’investiguer l’impact conjoint des atteintes à sa santé sur son état général et sa capacité de travail. En effet, s’ils ont dans un premier temps procédé à une analyse par diagnostics, ils ont systématiquement pris en considération les différentes atteintes et leurs effets sur le diagnostic discuté. En tout état de cause, à la fin de leur analyse, les experts ont pris le soin de procéder à la synthèse du cas et de poser des conclusions communes. S’ajoute à cela que les diagnostics, retenus ou non, sont clairs et discutés en détails et que les conclusions des experts sont motivées à satisfaction de droit. Les appréciations des experts permettent de comprendre les troubles affectant le recourant et leurs conséquences ou non sur sa capacité de travail. Compte tenu de ces éléments, force est de constater que l’expertise en question doit se voir reconnaître une pleine valeur probante. Par conséquent, toute instruction complémentaire, notamment sous la forme d’une expertise judiciaire est inutile, la Chambre de céans disposant des éléments nécessaires pour trancher le litige. d) S’agissant des différents rapports des Drs B______ et D______, outre le fait qu’ils émanent des médecins traitants du recourant, ce dont il faut tenir compte, ils sont entachés d’un défaut manifeste de motivation. En effet, ces médecins ne justifient pas ou peu les diagnostics retenus, leurs conséquences sur la capacité de travail de leur patient ou les limitations fonctionnelles qu’ils induisent. Quoi qu’il en soit, leurs conclusions ont été intégralement analysées et discutées par les experts, de sorte qu’aucun élément objectif apporté par ces médecins n’a été ignoré dans le cadre de l’expertise. On rappellera également que le simple fait que leurs conclusions diffèrent de celles des experts ne suffit pas pour remettre en cause l’expertise. e) Le recourant ne saurait être suivi non plus dans son argumentation, lorsqu’il soutient que l’intimé a reconnu son incapacité de travail dans le cadre du mandat d’aide au placement, en mettant fin au dit mandat. Comme le souligne à juste titre l’intimé, la fin du mandat de placement était justifiée par un arrêt de travail délivré par le médecin traitant et la perspective d’une intervention chirurgicale. Ce faisant, l’intimé s’est borné à constater que le mandat ne pouvait être poursuivi, sans que l’on puisse déduire de cette constatation une quelconque reconnaissance d’une incapacité de travail valant invalidité. Quant à la mention de la possibilité de déposer une nouvelle demande de prestations en cas d’aggravation, il s’agit là</w:t>
      </w:r>
    </w:p>
    <w:p>
      <w:r>
        <w:t>A/3422/2015 - 21/22 - d’une information usuelle transmise par l’office à ses assurés dans des situations similaires. f) En ce qui concerne les documents médicaux produits par le recourant les 23 décembre 2015 et 8 février 2016, de l’aveu même de ce dernier, ils ne sont pas en lien avec l’objet du litige, dans la mesure où ils sont postérieurs à la décision querellée et semblent concerner des atteintes différentes de celles qui opposent les parties dans la présente procédure. On rappellera à cet égard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g) Compte tenu de ce qui précède, la chambre de céans n’a aucune raison de s’écarter des conclusions de l’expertise de la Clinique Corela. Entre 2009 et 2015, il apparaît donc que l’état de santé du recourant a fluctué. Entre fin mars 2009 et le 4 décembre 2011, il s’est maintenu, avant de se péjorer entre le 5 décembre 2011 et le 30 novembre 2012, puis de s’améliorer dès le 1er décembre 2012. A teneur de l’expertise, entre le 5 décembre 2011 et le 30 novembre 2012, le recourant a été dans l’incapacité totale d’exercer la moindre activité. Dès décembre 2012, il a recouvré une capacité de travail pleine et entière, tant dans son activité habituelle que dans une activité adaptée, ce qui constitue une amélioration de son état de santé par rapport à la situation en 2009. Cela étant, la période d’incapacité de travail ayant duré moins d’une année, c’est à bon droit que l’intimé a rejeté la demande de prestations du 5 janvier 2011 (cf. art. 28 al. 1 let. c LAI).</w:t>
      </w:r>
    </w:p>
    <w:p>
      <w:r>
        <w:rPr>
          <w:b/>
        </w:rPr>
        <w:t>E. 13</w:t>
      </w:r>
    </w:p>
    <w:p>
      <w:r>
        <w:t>Au vu de ce qui précède,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A/3422/2015 - 22/22 -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