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ATAS/847/2013 vom 2. September 2013</w:t>
      </w:r>
    </w:p>
    <w:p>
      <w:r>
        <w:t>GE Cour de justice, 2013-09-02, FR</w:t>
      </w:r>
    </w:p>
    <w:p>
      <w:r>
        <w:rPr>
          <w:b/>
        </w:rPr>
        <w:t xml:space="preserve">Quelle: </w:t>
      </w:r>
      <w:r>
        <w:t>https://mcp.opencaselaw.ch/entscheid/ge_gerichte_ATAS_847_2013</w:t>
      </w:r>
    </w:p>
    <w:p>
      <w:r>
        <w:t>FR: GE_GERICHTE ATAS/847/2013 du 2 septembre 2013</w:t>
      </w:r>
    </w:p>
    <w:p>
      <w:r>
        <w:t>IT: GE_GERICHTE ATAS/847/2013 del 2 settembre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Brigitte BABEL</w:t>
      </w:r>
    </w:p>
    <w:p>
      <w:r>
        <w:t>La Présidente :</w:t>
      </w:r>
    </w:p>
    <w:p>
      <w:r>
        <w:t>Francine PAYOT ZEN- RUFFINEN</w:t>
      </w:r>
    </w:p>
    <w:p>
      <w:r>
        <w:t>Une copie conforme du présent arrêt est notifiée à l'Office fédéral des assurances sociales et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