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ATAS/847/2011 vom 13. September 2011</w:t>
      </w:r>
    </w:p>
    <w:p>
      <w:r>
        <w:t>GE Cour de justice, 2011-09-13, FR</w:t>
      </w:r>
    </w:p>
    <w:p>
      <w:r>
        <w:rPr>
          <w:b/>
        </w:rPr>
        <w:t xml:space="preserve">Quelle: </w:t>
      </w:r>
      <w:r>
        <w:t>https://mcp.opencaselaw.ch/entscheid/ge_gerichte_ATAS_847_2011</w:t>
      </w:r>
    </w:p>
    <w:p>
      <w:r>
        <w:t>FR: GE_GERICHTE ATAS/847/2011 du 13 septembre 2011</w:t>
      </w:r>
    </w:p>
    <w:p>
      <w:r>
        <w:t>IT: GE_GERICHTE ATAS/847/2011 del 13 settembre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une rente d'invalidité dès le 1er juin 2010, soit six mois après le dépôt de la demande de novembre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LAI, l'assuré a droit à une rente aux conditions suivantes: a. sa capacité de gain ou sa capacité d’accomplir ses travaux habituels ne peut pas être rétablie, maintenue ou améliorée par des mesures de réadaptation</w:t>
      </w:r>
    </w:p>
    <w:p>
      <w:r>
        <w:t>A/1807/2011 - 7/12 -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au moins donne droit à un quart de rente; 50% au moins à une demie rente; 60% au moins à un trois quarts de rente et 70% au moins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e)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w:t>
      </w:r>
    </w:p>
    <w:p>
      <w:r>
        <w:t>A/1807/2011 - 8/12 -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4</w:t>
      </w:r>
    </w:p>
    <w:p>
      <w:r>
        <w:t>Lorsqu'il s'agit de déterminer le statut et le taux auquel une assurée exercerait une activité professionnelle sans atteinte à la santé, il sied de renvoyer aux différentes méthodes d'évaluation de l'invalidité (méthode de la comparaison des revenus [cf. ATF 130 V 343 consid. 3.4. p. 348 s.], méthode spécifique [cf. ATF 130 V 97 consid. 3.3.1 p. 99 s.] et méthode mixte [cf. ATF 130 V 393 consid. 3.3 p. 395 s.]), ainsi que les conditions conduisant à l'application de l'une ou l'autre d'entre elles. Pour résoudre la question litigieuse, il faut se référer à l'ensemble des circonstances personnelles, familiales, sociales, financières et professionnelles du cas d'espèce (ATF 130 V 393 consid. 3.3 p. 395 s., 125 V 146 consid. 2c p. 150 et les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p. 360 s.). Elle relève d'une question de fait dans la mesure où il s'agit d'une appréciation concrète des circonstances et non de l'application des conséquences tirées exclusivement de l'expérience générale de la vie (ATF 133 V 504 consid. 3.2 p. 507 et les références; arrêt du 5 juillet 2011, 9C_519/2010).</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w:t>
      </w:r>
    </w:p>
    <w:p>
      <w:r>
        <w:t>A/1807/2011 - 9/12 -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Le Tribunal cantonal, respectivement le Tribunal administratif fédéral, doit mettre en œuvre les expertises médicales lorsqu'il constate qu'une instruction est nécessaire, ceci afin de garantir l'égalité des armes au procès. A titre d'exception, un renvoi à l'Office AI demeure possible lorsqu'il est seul en mesure de répondre à une question non éclaircie ou lorsqu'il s'agit d'un éclaircissement ou d'une précision ou d'un complément d'une expertise (arrêt 9C_646/2010).</w:t>
      </w:r>
    </w:p>
    <w:p>
      <w:r>
        <w:rPr>
          <w:b/>
        </w:rPr>
        <w:t>E. 6</w:t>
      </w:r>
    </w:p>
    <w:p>
      <w:r>
        <w:t>Dans le cas d'espèce, il ressort du rapport d'imagerie médicale du 17 août 2011 que la récidive d'hernie discale et la discopathie L5-S1 objectivent désormais l'intensification des douleurs lombaires dûment constatées par les Dr L___________ et N___________, ainsi que par l'assurée elle-même depuis octobre 2009. A cet égard, l'examen rhumatologique effectué par le SMR est en effet complet et sérieusement mené par le Dr M___________, qui ne paraît pas douter de la réalité des douleurs constatées lors de l'examen et décrites par l'assurée. Le médecin est cependant perplexe en raison de l'absence d'indication radiologique</w:t>
      </w:r>
    </w:p>
    <w:p>
      <w:r>
        <w:t>A/1807/2011 - 10/12 - claire et du fait du déplacement des douleurs à gauche. Le seul reproche que l'on puisse faire à cet examen et aux conclusions que l'OAI en tire est la prise en compte nettement insuffisante des plaintes de la patiente, lesquelles font partie intégrante de l'appréciation du cas. En effet, ces plaintes n'ont jamais semblé exagérées aux yeux des divers médecins consultés, l'assurée a repris le travail sans tarder après trois interventions chirurgicales et elle n'a nullement eu un comportement démonstratif lors de l'examen. Elle décrit une douleur allant en s'aggravant encore dès l'été 2010 et il aurait été alors utile de procéder à une nouvelle IRM. Toutefois, la cause n'est pas en état d'être jugée par la Cour, dès lors qu'aucun spécialiste ne s'est prononcé suite à l'apport de cette nouvelle pièce. Il convient donc, pour ce motif, de renvoyer la cause à l'OAI pour un complément de rapport par le Dr M___________ ou par un autre spécialiste en rhumatologie, voire en neurologie ou neurochirurgie, en tenant compte des résultats de l'IRM d'août 2011, afin de déterminer les limitations fonctionnelles de l'assurée, sa capacité de travail résiduelle dans l'activité habituelle et à défaut, dans une activité adaptée depuis octobre 2009. En deuxième lieu, l'OAI a procédé par erreur au calcul du taux d'invalidité sur la base du salaire de 2005 réévalué à 2009 en tenant compte d'une activité de concierge que l'assurée n'exerce plus depuis 4 ans, alors que X___________ ont communiqué le revenu effectivement réalisé par l'assurée en 2010, soit 4'322 fr. pour une activité à 70% semble-t-il. De plus, il est établi au degré de la vraisemblance prépondérante, compte tenu des déclarations faites par l'assurée en 2006 déjà, du rapport de l'enquête ménagère à ce propos, de l'âge des enfants (21 et 19 ans en 2010), de l'état civil de l'assurée (divorcée sans contribution d'entretien), que celle-ci aurait travaillé à 100% chez X___________ dès 2007-2008 si son état de santé le lui avait permis. On ne comprend pas, d'une part, les bases du calcul effectué par l'OAI, et, d'autre part, pourquoi l'intimé, qui retient un statut mixte 80%-20%, n'admet aucun empêchement ménager, alors qu'il était de 40% lors de la décision du 14 février 2008 pour la période postérieure à fin 2006. Toutefois, le calcul ne peut pas être effectué sur la base des pièces produites, en raison de l'incertitude subsistant quant au revenu annuel précisément réalisé en 2010, année de l'ouverture, vraisemblable, du droit à la rente, en incluant cas échéant un 13ème salaire, pour un taux d'activité à 100% ; il convient ainsi de renvoyer la cause pour une instruction complémentaire à cet égard aussi, sur la base d'un statut d'active à 100%, afin de déterminer le taux d'invalidité.</w:t>
      </w:r>
    </w:p>
    <w:p>
      <w:r>
        <w:rPr>
          <w:b/>
        </w:rPr>
        <w:t>E. 7</w:t>
      </w:r>
    </w:p>
    <w:p>
      <w:r>
        <w:t>Bien fondé, le recours est partiellement admis, la décision du 9 mai 2011 est annulée et la cause est renvoyée à l'intimé pour instruction complémentaire au sens des considérants. La recourante, qui obtient partiellement gain de cause, a droit à une indemnité à titre de participation à ses frais et dépens, que la Cour fixe en l'espèce à 1'500 fr. (art. 61 let. g LPGA ; art. 89H al. 3 LPA). L'intimé sera par ailleurs condamné à un émolument de 200 fr. (art. 69 al. 1 bis LAI).</w:t>
      </w:r>
    </w:p>
    <w:p>
      <w:r>
        <w:t>A/1807/2011 - 11/12 -</w:t>
      </w:r>
    </w:p>
    <w:p>
      <w:r>
        <w:t>A/1807/2011 - 12/12 -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