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ATAS/845/2023 vom 2. November 2023</w:t>
      </w:r>
    </w:p>
    <w:p>
      <w:r>
        <w:t>GE Cour de justice, 2023-11-02, FR</w:t>
      </w:r>
    </w:p>
    <w:p>
      <w:r>
        <w:rPr>
          <w:b/>
        </w:rPr>
        <w:t xml:space="preserve">Quelle: </w:t>
      </w:r>
      <w:r>
        <w:t>https://mcp.opencaselaw.ch/entscheid/ge_gerichte_ATAS_845_2023</w:t>
      </w:r>
    </w:p>
    <w:p>
      <w:r>
        <w:t>FR: GE_GERICHTE ATAS/845/2023 du 2 novembre 2023</w:t>
      </w:r>
    </w:p>
    <w:p>
      <w:r>
        <w:t>IT: GE_GERICHTE ATAS/845/2023 del 2 novembre 2023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A/2158/2023 ATAS/845/2023 COUR DE JUSTICE Chambre des assurances sociales Arrêt du 2 novembre 2023 Chambre 4</w:t>
      </w:r>
    </w:p>
    <w:p>
      <w:r>
        <w:t>En la cause A______ représentée par Me Guy ZWAHLEN, avocat</w:t>
      </w:r>
    </w:p>
    <w:p>
      <w:r>
        <w:t>recourante</w:t>
      </w:r>
    </w:p>
    <w:p>
      <w:r>
        <w:t>contre OFFICE DE L'ASSURANCE-INVALIDITÉ DU CANTON DE GENÈVE</w:t>
      </w:r>
    </w:p>
    <w:p>
      <w:r>
        <w:t>intimé</w:t>
      </w:r>
    </w:p>
    <w:p>
      <w:r>
        <w:t>A/2158/2023 - 2/2 - Vu la décision du 28 juillet 2023 de l’office de l’assurance-invalidité du canton de Genève (ci-après : l’intimé) ; Vu le recours interjeté le 28 juin 2023 par Madame A______ (ci-après : la recourante), par l’intermédiaire de son conseil ; Vu la réponse du 19 juillet 2023 de l’intimé ; Attendu que par courrier du 4 octobre 2023, le conseil de la recourante a indiqué que cette dernière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