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ATAS/845/2022 vom 22. September 2022</w:t>
      </w:r>
    </w:p>
    <w:p>
      <w:r>
        <w:t>GE Cour de justice, 2022-09-22, FR</w:t>
      </w:r>
    </w:p>
    <w:p>
      <w:r>
        <w:rPr>
          <w:b/>
        </w:rPr>
        <w:t xml:space="preserve">Quelle: </w:t>
      </w:r>
      <w:r>
        <w:t>https://mcp.opencaselaw.ch/entscheid/ge_gerichte_ATAS_845_2022</w:t>
      </w:r>
    </w:p>
    <w:p>
      <w:r>
        <w:t>FR: GE_GERICHTE ATAS/845/2022 du 22 septembre 2022</w:t>
      </w:r>
    </w:p>
    <w:p>
      <w:r>
        <w:t>IT: GE_GERICHTE ATAS/845/2022 del 22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w:t>
      </w:r>
    </w:p>
    <w:p>
      <w:r>
        <w:t>A/2241/2022 - 6/11 - droit s'applique sans réserve dès le jour de son entrée en vigueur (ATF 117 V 93 consid. 6b ; ATF 112 V 360 consid. 4a ; RAMA 1998 KV 37 p. 316 consid. 3b). Déposé après le 1er janvier 2021, le recours sera donc traité sous l'angle du nouveau droit de la LPGA (cf. ATAS/360/2021 du 15 avril 2021 consid. 3).</w:t>
      </w:r>
    </w:p>
    <w:p>
      <w:r>
        <w:rPr>
          <w:b/>
        </w:rPr>
        <w:t>E. 3</w:t>
      </w:r>
    </w:p>
    <w:p>
      <w:r>
        <w:t>Interjeté dans les formes et les délais légaux, le recours est recevable (art. 56 al. 1, 60 et 61 let. b LPGA).</w:t>
      </w:r>
    </w:p>
    <w:p>
      <w:r>
        <w:rPr>
          <w:b/>
        </w:rPr>
        <w:t>E. 4</w:t>
      </w:r>
    </w:p>
    <w:p>
      <w:r>
        <w:t>Le litige porte sur la question de savoir si le recourant peut bénéficier d’une remise de l’obligation de restituer les prestations de l'assurance-chômage, perçues à tort, de février à mai 2020, à hauteur de CHF 9'773.95.</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5.2</w:t>
      </w:r>
    </w:p>
    <w:p>
      <w:r>
        <w:t>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w:t>
      </w:r>
    </w:p>
    <w:p>
      <w:r>
        <w:rPr>
          <w:b/>
        </w:rPr>
        <w:t>E. 5.3</w:t>
      </w:r>
    </w:p>
    <w:p>
      <w:r>
        <w:t>On précisera encore que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w:t>
      </w:r>
    </w:p>
    <w:p>
      <w:r>
        <w:rPr>
          <w:b/>
        </w:rPr>
        <w:t>E. 6.1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t>A/2241/2022 - 7/11 -</w:t>
      </w:r>
    </w:p>
    <w:p>
      <w:r>
        <w:rPr>
          <w:b/>
        </w:rPr>
        <w:t>E. 6.2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6.3</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6.4</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6.5</w:t>
      </w:r>
    </w:p>
    <w:p>
      <w:r>
        <w:t>En revanche, l’intéressé peut invoquer sa bonne foi si son défaut de conscience du caractère indu de la prestation ne tient qu’à une négligence légère,</w:t>
      </w:r>
    </w:p>
    <w:p>
      <w:r>
        <w:t>A/2241/2022 - 8/11 -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le recourant ne conteste pas avoir perçu le montant dont la restitution est demandée. Il invoque sa bonne foi pour qu’une remise de l’obligation de restituer lui soit accordée, exposant qu’il a commis une erreur « de bonne foi » en considérant son activité chez E______ comme une formation continue de son métier de pilote et non pas comme une activité lucrative. Les explications données par le recourant et son attitude lors de sa comparution personnelle du 3 février 2022, dans la procédure A/1033/2021, conduisent la chambre de céans à exclure l’hypothèse selon laquelle le recourant aurait dissimulé ses revenus par intention malicieuse.</w:t>
      </w:r>
    </w:p>
    <w:p>
      <w:r>
        <w:rPr>
          <w:b/>
        </w:rPr>
        <w:t>E. 8.2</w:t>
      </w:r>
    </w:p>
    <w:p>
      <w:r>
        <w:t>Il reste à examiner si le défaut d’annonce des gains obtenus par le recourant doit être considéré comme une négligence grave. Le formulaire IPA qui doit être remis, complété et signé, par chaque personne assurée, à la caisse de chômage, à la fin de chaque mois, stipule expressément l’obligation d’annoncer « tout travail effectué durant la durée d’indemnisation de chômage. Frauder l’assurance n’en vaut pas la peine. La centrale de compensation AVS informe l’assurance-chômage des rapports de travail durant la période de chômage ». Il est encore mentionné que « toute indication fausse ou incomplète peut entraîner un retrait des prestations et une plainte pénale. Les prestations indûment touchées devront être remboursées ».</w:t>
      </w:r>
    </w:p>
    <w:p>
      <w:r>
        <w:t>A/2241/2022 - 9/11 - Ces éléments démontrent que le recourant était informé de ses obligations à l’égard de la caisse, notamment son obligation d’annoncer spontanément les gains intermédiaires perçus pendant la durée d’indemnisation de chômage. Le fait que le recourant n’ait pas considéré son activité rémunérée auprès de E______ comme un travail, mais plutôt comme une formation, n’est pas relevant dès lors que l’activité en question était rémunérée et que le recourant avait l’obligation d’annoncer ladite rémunération. S’y ajoute le fait que l’activité que le recourant considérait comme une formation lui a rapporté un gain substantiel, soit un montant global de CHF 4'690.- en 2016, de CHF 10'968.- en 2017 et de CHF 10'126.- en 2018 ; le défaut d’annonce de tels revenus ne pouvait pas être éludé par le simple fait que le recourant considérait son activité comme une formation. En tenant compte du niveau de formation supérieure du recourant, pilote de ligne, celui-ci aurait dû s’interroger sur la nature de la contrepartie financière que lui rapportait sa « formation » et rechercher des renseignements auprès de l’OCE, ce qu’il n’a pas fait, alors même que ladite activité s’est déroulée sur plusieurs années, soit de 2016 à 2018. Compte tenu de ce qui précède, la chambre de céans constate que le recourant était informé de ses devoirs, que le montant de la rémunération perçue ne pouvait pas être passé sous silence et que le niveau d’éducation du recourant devait l’amener à clarifier ce point en se renseignant auprès de l’OCE. Partant, il est établi, au degré de la vraisemblance prépondérante, que le recourant n’a pas voué suffisamment d’attention et de soins à l’éclaircissement de sa situation et a commis une négligence grave en omettant d’annoncer à l’OCE les revenus perçus chez E______.</w:t>
      </w:r>
    </w:p>
    <w:p>
      <w:r>
        <w:rPr>
          <w:b/>
        </w:rPr>
        <w:t>E. 8.3</w:t>
      </w:r>
    </w:p>
    <w:p>
      <w:r>
        <w:t>Pour justifier son omission, le recourant invoque encore sa situation personnelle difficile, notamment sur le plan financier, les troubles de la santé de son épouse ainsi que les efforts fournis pour « rebondir » et obtenir un poste de pilote de ligne chez D______. La situation financière difficile du recourant ne peut pas être considérée comme un fait justificatif permettant d’expliquer sa négligence, pas plus que la santé de son épouse. L’expérience générale de la vie amène à constater que de telles épreuves ne sont pas exceptionnelles et ne sauraient justifier les omissions du recourant. De même, ses efforts pour retrouver un poste de pilote de ligne, bien qu’ils soient louables au vu du résultat positif obtenu et ceci en dépit de la forte concurrence dans ce domaine, ne peuvent pas non plus être invoqués pour justifier la négligence du recourant, car le fait de rechercher un travail fait partie des obligations du demandeur d’emploi.</w:t>
      </w:r>
    </w:p>
    <w:p>
      <w:r>
        <w:t>A/2241/2022 - 10/11 - Dès lors que la condition impérative de la bonne foi, permettant d’entrer en matière sur une demande de remise de l’obligation de rembourser, n’était pas remplie, l’intimé était en droit de rejeter la demande de remise déposée par le recourant. Il appartiendra à l’intimé de soustraire du montant dont la restitution est réclamée les sommes remboursées mensuellement par le recourant, jusqu’à l’entrée en force du présent arrêt.</w:t>
      </w:r>
    </w:p>
    <w:p>
      <w:r>
        <w:rPr>
          <w:b/>
        </w:rPr>
        <w:t>E. 9</w:t>
      </w:r>
    </w:p>
    <w:p>
      <w:r>
        <w:t>Compte tenu de ce qui précède, la chambre de céans n’a d’autre choix que de rejeter le recours.</w:t>
      </w:r>
    </w:p>
    <w:p>
      <w:r>
        <w:rPr>
          <w:b/>
        </w:rPr>
        <w:t>E. 10</w:t>
      </w:r>
    </w:p>
    <w:p>
      <w:r>
        <w:t>Pour le surplus, en l’absence de loi spéciale prévoyant des frais judiciaires, la procédure est gratuite (art. 61 let. fbis LPGA en lien avec l’art. 1 al. 1 LACI).</w:t>
      </w:r>
    </w:p>
    <w:p>
      <w:r>
        <w:t>A/2241/2022 - 11/11 -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