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ATAS/845/2016 vom 17. Oktober 2016</w:t>
      </w:r>
    </w:p>
    <w:p>
      <w:r>
        <w:t>GE Cour de justice, 2016-10-17, FR</w:t>
      </w:r>
    </w:p>
    <w:p>
      <w:r>
        <w:rPr>
          <w:b/>
        </w:rPr>
        <w:t xml:space="preserve">Quelle: </w:t>
      </w:r>
      <w:r>
        <w:t>https://mcp.opencaselaw.ch/entscheid/ge_gerichte_ATAS_845_2016</w:t>
      </w:r>
    </w:p>
    <w:p>
      <w:r>
        <w:t>FR: GE_GERICHTE ATAS/845/2016 du 17 octobre 2016</w:t>
      </w:r>
    </w:p>
    <w:p>
      <w:r>
        <w:t>IT: GE_GERICHTE ATAS/845/2016 del 17 ottobre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singulièrement sur le taux de capacité de travail de celui-ci et sur le calcul du revenu d’invalide ainsi que sur le taux de l’IPAI.</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w:t>
      </w:r>
    </w:p>
    <w:p>
      <w:r>
        <w:t>A/882/2016 - 21/36 -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w:t>
      </w:r>
    </w:p>
    <w:p>
      <w:r>
        <w:t>A/882/2016 - 22/36 -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a)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 4 octobre 2011 consid. 3.2 et 8C_384/2009 du 5 janvier 2010 consid. 4.2.1 in SVR 2010 UV n° 18 p. 69). b)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w:t>
      </w:r>
    </w:p>
    <w:p>
      <w:r>
        <w:t>A/882/2016 - 23/36 - des complications les plus singulières et les plus graves qui ne se produisent habituellement pas selon l'expérience médicale (ATF 118 V 286 consid. 3a et ATF 117 V 359 consid. 5d/bb; arrêt du Tribunal fédéral des assurances U 351/04 du 14 février 2006 consid. 3.2).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w:t>
      </w:r>
    </w:p>
    <w:p>
      <w:r>
        <w:t>A/882/2016 - 24/36 -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w:t>
      </w:r>
    </w:p>
    <w:p>
      <w:r>
        <w:t>A/882/2016 - 25/36 -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A/882/2016 - 26/36 -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A/882/2016 - 27/36 -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13</w:t>
      </w:r>
    </w:p>
    <w:p>
      <w:r>
        <w:t>a) Le juge des assurances sociales doit procéder à des investigations supplémentaires ou en ordonner lorsqu'il y a suffisamment de raisons pour le faire,</w:t>
      </w:r>
    </w:p>
    <w:p>
      <w:r>
        <w:t>A/882/2016 - 28/36 -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a) Selon l'art. 18 al. 1 LAA, l'assuré a droit à une rente d'invalidité s'il est invalide (art. 8 LPGA) à 10 % au moins par suite d'un accident.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w:t>
      </w:r>
    </w:p>
    <w:p>
      <w:r>
        <w:rPr>
          <w:b/>
        </w:rPr>
        <w:t>E. 16</w:t>
      </w:r>
    </w:p>
    <w:p>
      <w:r>
        <w:t>LPGA). La comparaison des revenus s'effectue, en règle générale, en chiffrant aussi exactement que possible les montants de ces deux revenus et en les confrontant l'un avec l'autre, la différence permettant de calculer le taux d'invalidité (ATF 128 V 29 consid. 1 p. 30; voir également SVR 2010 IV n° 11 p. 35 [9C_236/2009] consid. 3.1). Selon la jurisprudence, la diminution de la capacité de gain doit être déterminée de la manière la plus concrète possible. Aussi, le revenu d'invalide doit-il être évalué avant tout en fonction de la situation professionnelle concrète de la personne assurée (ATF 135 V 297 consid. 5.2 p. 301; 129 V 472 consid. 4.2.1 p. 475 ; arrêt du Tribunal fédéral 8C 606/2014 du 26 août 2015). b) Selon l’art. 19 LAA, le droit à la rente prend naissance dès qu’il n’y a plus lieu d’attendre de la continuation du traitement médical une sensible amélioration de</w:t>
      </w:r>
    </w:p>
    <w:p>
      <w:r>
        <w:t>A/882/2016 - 29/36 - l’état de l’assuré et que les éventuelles mesures de réadaptation de l’assurance- invalidité ont été menées à terme. Le droit au traitement médical et aux indemnités journalières cesse dès la naissance du droit à la rente. Le droit à la rente s’éteint lorsque celle-ci est remplacée en totalité par une indemnité en capital, lorsqu’elle est rachetée ou lorsque l’assuré décède.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c) Selon l’art. 28 al. 2 de l’ordonnance sur l'assurance-accidents du 20 décembre 1982 (OLAA - RS 832.202) chez les assurés qui exercent simultanément plusieurs activités salariées, le degré d'invalidité est déterminé en fonction de l'incapacité subie dans l'ensemble de ces activités. Si en plus d'une activité salariée, l'assuré exerce une activité lucrative indépendante non assurée en vertu de la loi ou une activité non rémunérée, l'incapacité subie dans cette activité n'est pas prise en considération. Selon la jurisprudence, qui prévaut notamment en matière d'assurance-accidents,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Pour savoir si un revenu accessoire doit être pris en compte, seul est décisif le lien entre l'atteinte à la santé et la cessation de l'activité s'y rapportant (arrêts U 66/02 du 2 novembre 2004 consid. 4.1.2, in RAMA 2005 n° U 538 p. 112, U 130/02 du 29 novembre 2002 consid. 3.2.1, in RAMA 2003 n° U 476 p. 107, 8C_676/2007 du 11 mars 2008 et 8C_452/2009 du 26 janvier 2010 consid. 4.3 et les références ; 8C 897/2011 du 22 novembre 2012). 15. En l’espèce, l’intimée a retenu que le recourant était apte à exercer une activité adaptée à ses limitations fonctionnelles à 100 %, en se fondant sur l’expertise de la CRR du 28 novembre 2014 ainsi que sur l’avis de ses médecins-conseils, les Drs I______ et V______, confirmés, selon elle, par l’expertise du Dr AB_____ du</w:t>
      </w:r>
    </w:p>
    <w:p>
      <w:r>
        <w:rPr>
          <w:b/>
        </w:rPr>
        <w:t>E. 19</w:t>
      </w:r>
    </w:p>
    <w:p>
      <w:r>
        <w:t>S’agissant enfin des troubles psychiatriques allégués, une expertise judiciaire psychiatrique n’est pas justifiée dès lors que la causalité adéquate entre les troubles et l’accident doit d’emblée être niée. En effet, l’accident peut être qualifié de gravité moyenne, [le recourant qui circulait à motocycle a été heurté par le flanc gauche d’un véhicule dont la conductrice n’a pas respecté un cédez le passage (rapport de police du 26 avril 2013)] ; s’agissant des critères jurisprudentiels précités (consid. 9), si le critère des douleurs physiques persistantes pourrait en l’occurrence être considéré comme réalisé, les autres critères jurisprudentiels ne sont pas réunis de sorte que la causalité adéquate entre d’éventuels troubles psychiatriques et l’accident peut être d’emblée niée.</w:t>
      </w:r>
    </w:p>
    <w:p>
      <w:r>
        <w:rPr>
          <w:b/>
        </w:rPr>
        <w:t>E. 20</w:t>
      </w:r>
    </w:p>
    <w:p>
      <w:r>
        <w:t>Au vu de ce qui précède, le recours sera partiellement admis et la décision litigieuse réformée dans le sens que l’intimée sera condamnée à verser au recourant une rente d’invalidité de 11 % dès le 1er octobre 2015. Elle sera confirmée pour le surplus.</w:t>
      </w:r>
    </w:p>
    <w:p>
      <w:r>
        <w:rPr>
          <w:b/>
        </w:rPr>
        <w:t>E. 21</w:t>
      </w:r>
    </w:p>
    <w:p>
      <w:r>
        <w:t>Vu l’issue du litige, une indemnité de CHF 3'000.- sera allouée au recourant, à charge de l’intimée (art. 61 let. g LPGA).</w:t>
      </w:r>
    </w:p>
    <w:p>
      <w:r>
        <w:t>A/882/2016 - 36/36 -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