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ATAS/845/2011 vom 13. September 2011</w:t>
      </w:r>
    </w:p>
    <w:p>
      <w:r>
        <w:t>GE Cour de justice, 2011-09-13, FR</w:t>
      </w:r>
    </w:p>
    <w:p>
      <w:r>
        <w:rPr>
          <w:b/>
        </w:rPr>
        <w:t xml:space="preserve">Quelle: </w:t>
      </w:r>
      <w:r>
        <w:t>https://mcp.opencaselaw.ch/entscheid/ge_gerichte_ATAS_845_2011</w:t>
      </w:r>
    </w:p>
    <w:p>
      <w:r>
        <w:t>FR: GE_GERICHTE ATAS/845/2011 du 13 septembre 2011</w:t>
      </w:r>
    </w:p>
    <w:p>
      <w:r>
        <w:t>IT: GE_GERICHTE ATAS/845/2011 del 13 settembre 2011</w:t>
      </w:r>
    </w:p>
    <w:p>
      <w:pPr>
        <w:pStyle w:val="Heading2"/>
      </w:pPr>
      <w:r>
        <w:t>Erwägungen</w:t>
      </w:r>
    </w:p>
    <w:p>
      <w:r>
        <w:rPr>
          <w:b/>
        </w:rPr>
        <w:t>E. 1</w:t>
      </w:r>
    </w:p>
    <w:p>
      <w:r>
        <w:t>Conformément à l'art. 56 V al. 1 let. a ch. 1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Dès le 1er janvier 2011, cette compétence revient à la Chambre des assurances sociales de la Cour de justice, laquelle reprend la procédure pendante devant le Tribunal cantonal des assurances sociales (art. 143 al. 6 de la LOJ du 9 octobre 2009). S'agissant d'une action en réparation fondée sur l'art. 52 LAVS, la compétence de la Cour pour juger du cas d’espèce est ainsi établie.</w:t>
      </w:r>
    </w:p>
    <w:p>
      <w:r>
        <w:rPr>
          <w:b/>
        </w:rPr>
        <w:t>E. 2</w:t>
      </w:r>
    </w:p>
    <w:p>
      <w:r>
        <w:t>Aux termes de l’art. 1er al. 1er LAVS, les dispositions de la LPGA s’appliquent à l’AVS réglée dans la première partie,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faits en question étant postérieurs à l'entrée en vigueur de la LPGA, elle s’applique donc au cas d’espèce.</w:t>
      </w:r>
    </w:p>
    <w:p>
      <w:r>
        <w:rPr>
          <w:b/>
        </w:rPr>
        <w:t>E. 3</w:t>
      </w:r>
    </w:p>
    <w:p>
      <w:r>
        <w:t>Déposés en temps utile et dans la forme légale, les recours sont recevables (art. 56 ss LPGA).</w:t>
      </w:r>
    </w:p>
    <w:p>
      <w:r>
        <w:rPr>
          <w:b/>
        </w:rPr>
        <w:t>E. 4</w:t>
      </w:r>
    </w:p>
    <w:p>
      <w:r>
        <w:t>Le litige porte sur la question de savoir si le recourant est responsable du dommage causé par le non-paiement des cotisations sociales dues pour l' année 2002.</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w:t>
      </w:r>
    </w:p>
    <w:p>
      <w:r>
        <w:t>A/1261/2011 - 8/12 -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dépôt de l'acte de collocation publié le 6 février 2008, lors duquel les créanciers ont été informés qu'aucun dividende n'était prévisible. La décision en réparation du dommage, notifiée le 7 octobre 2009, est par conséquent intervenue dans le délai de deux ans prescrit par l’art. 52 al. 3 LAVS. Le dommage consiste en la perte de la créance de cotisations subie par l’intimée et correspond au solde des cotisations AVS/AI/APG/AC pour l'année 2002 et en particulier le complément de l’année 2002, y compris les faris et inrérêts moratoires, soit 86'194 fr.20</w:t>
      </w:r>
    </w:p>
    <w:p>
      <w:r>
        <w:rPr>
          <w:b/>
        </w:rPr>
        <w:t>E. 6</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w:t>
      </w:r>
    </w:p>
    <w:p>
      <w:r>
        <w:t>A/1261/2011 - 9/12 - affirmé que l’on ne pouvait inférer ni du message du Conseil fédéral concernant la 11ème révision de l’AVS ni des travaux préparatoires de la LPGA des raisons de s’écarter de la jurisprudence constante relative à l’art. 52 LAVS. c) En l’occurrence, force est de constater que le recourant est seul propriétaire et gérant de l'entreprise individuelle X_________, ayant qualité pour signer selon le registre du commerce et qu'il devait ainsi assumer la gestion de l'entreprise depuis sa création en 1996, ce qu’il ne conteste pas au demeurant. Il est donc l'employeur visé par l'art. 52 LAVS.</w:t>
      </w:r>
    </w:p>
    <w:p>
      <w:r>
        <w:rPr>
          <w:b/>
        </w:rPr>
        <w:t>E. 7</w:t>
      </w:r>
    </w:p>
    <w:p>
      <w:r>
        <w:t>a) La négligence grave mentionnée à l'art. 52 LAVS est admise très largement par la jurisprudence.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b)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w:t>
      </w:r>
    </w:p>
    <w:p>
      <w:r>
        <w:t>A/1261/2011 - 10/12 -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w:t>
      </w:r>
    </w:p>
    <w:p>
      <w:r>
        <w:rPr>
          <w:b/>
        </w:rPr>
        <w:t>E. 8</w:t>
      </w:r>
    </w:p>
    <w:p>
      <w:r>
        <w:t>En l'espèce, l'assuré aurait en premier lieu dû prendre la précaution de faire augmenter les acomptes des cotisations courant 2002 au vu de l'accroissement de la masse salariale, qu'il ne pouvait ignorer étant le seul à pouvoir engager du personnel, ou, si la marche des affaires ne permettait pas de faire face à cette hausse, licencier du personnel, voire réduire son propre revenu. En second lieu, il incombait au recourant de s’assurer personnellement que les cotisations paritaires afférentes aux salaires versés étaient effectivement payées à l’intimée, conformément aux prescriptions légales et aux accords convenus dès octobre 2002. Le recourant ne peut pas entièrement mettre le retard dans le paiement des cotisations sur le compte des mauvais conseils de son directeur, engagé en 2003, car ce retard a débuté durant le 1er trimestre de l'année 2002 déjà et le premier sursis au paiement a été convenu en octobre 2002 entre la caisse et le recourant personnellement, et non pas avec son directeur. De plus, les accords successifs ont pour partie été respectés (en particulier celui de juin 2003), de sorte que les propositions de gestion et les ordres donnés à la comptable de ne pas payer les cotisations, qu'il attribue à son directeur, sont postérieurs à 2002-2003 et concernent très vraisemblablement X_________ SA (dans laquelle ledit directeur dispose d'une signature collective) et non pas l'entreprise individuelle. Pour le surplus, l'assuré n'allègue pas avoir tenté de prendre une quelconque mesure concrète efficace pour faire face à ses obligations et respecter tous les engagements pris. En particulier, il ne rend pas vraisemblable que la création de X_________ SA (janvier 2003) et de Z_________ (février 2003) était une mesure destinée à permettre le paiement des cotisations en souffrance, en particulier l'important supplément de cotisation connu dès janvier 2003. Selon les explications données, l'activité déployée de délégation de personnel était rentable, et on ne discerne pas pourquoi cette activité ne pouvait pas être effectuée dans le cadre de l'entreprise individuelle, afin d'affecter ce nouveau bénéfice au paiement des cotisations, mais nécessitait la création d'une SA, qui n'a au demeurant repris que les actifs de l'entreprise individuelle. L'assuré n'allègue pas non plus avoir personnellement vérifié que les accords continuaient à être respectés, ni avoir envisagé d'autres mesures d'assainissement dans sa nouvelle société, courant 2004 par exemple, étant précisé que le directeur bénéficiant d'un salaire jugé excessif par l'assuré a été démis de ses fonctions au sein de X_________ SA en octobre 2005 seulement. Il se contente d'affirmer qu'il a cru que la proposition faite par son directeur concernant la création de deux autres sociétés et la diversification des activités permettrait de payer les cotisations dues.</w:t>
      </w:r>
    </w:p>
    <w:p>
      <w:r>
        <w:t>A/1261/2011 - 11/12 - Il convient ainsi d'admettre que l'attitude du recourant, laquelle est sans conteste en relation de causalité naturelle et adéquate avec le dommage subi par l'intimée, constitue une négligence grave entraînant l'obligation de réparer le dommage.</w:t>
      </w:r>
    </w:p>
    <w:p>
      <w:r>
        <w:rPr>
          <w:b/>
        </w:rPr>
        <w:t>E. 9</w:t>
      </w:r>
    </w:p>
    <w:p>
      <w:r>
        <w:t>Le recours est donc rejeté et la procédure est gratuite.</w:t>
      </w:r>
    </w:p>
    <w:p>
      <w:r>
        <w:t>A/1261/2011 - 12/12 -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