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ATAS/845/2010 vom 24. August 2010</w:t>
      </w:r>
    </w:p>
    <w:p>
      <w:r>
        <w:t>GE Cour de justice, 2010-08-24, FR</w:t>
      </w:r>
    </w:p>
    <w:p>
      <w:r>
        <w:rPr>
          <w:b/>
        </w:rPr>
        <w:t xml:space="preserve">Quelle: </w:t>
      </w:r>
      <w:r>
        <w:t>https://mcp.opencaselaw.ch/entscheid/ge_gerichte_ATAS_845_2010</w:t>
      </w:r>
    </w:p>
    <w:p>
      <w:r>
        <w:t>FR: GE_GERICHTE ATAS/845/2010 du 24 août 2010</w:t>
      </w:r>
    </w:p>
    <w:p>
      <w:r>
        <w:t>IT: GE_GERICHTE ATAS/845/2010 del 24 agosto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entière d'invalidité dès le 1er juillet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w:t>
      </w:r>
    </w:p>
    <w:p>
      <w:r>
        <w:rPr>
          <w:b/>
        </w:rPr>
        <w:t>E. 4</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A/1886/2010 - 10/15 -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d) Si l'administration ou le juge, se fondant sur une appréciation consciencieuse des preuves fournies par les investigations auxquelles ils doivent procéder d'office, sont convaincus que certains faits présentent un degré de vraisemblance prépondérante</w:t>
      </w:r>
    </w:p>
    <w:p>
      <w:r>
        <w:t>A/1886/2010 - 11/15 -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Dans le cas d'espèce, l’OAI s’est fondé sur l'expertise du Dr N__________, rhumatologue, effectuée à la demande de la SWICA, laquelle s’est notamment basée sur les bilans radiologiques du dossier pour refuser toute rente à l’assuré. L'assuré reproche à l'expert de la SWICA et au SMR de ne pas avoir posé de diagnostic clair et de ne pouvoir, de ce fait, en tirer des conclusions quant à sa capacité de travail. Le dossier contient d'autres rapports médicaux et il convient de confronter les divers avis donnés.</w:t>
      </w:r>
    </w:p>
    <w:p>
      <w:r>
        <w:t>En premier lieu, tous les médecins consultés sont hésitants quant au diagnostic à poser et suggèrent de ce fait une consultation spécialisée. Toutefois, les images IRM indiquent, ce qui est clairement attesté par le Dr O__________, comme diagnostic ayant des répercussions sur la capacité de travail de l’assuré, une synostose et arthrose sous-taliennes de la cheville gauche. Du côté de la cheville droite, les douleurs dont se plaint l’assuré pourraient évoquer la même affection, laquelle n’a pas été confirmée par des imageries.</w:t>
      </w:r>
    </w:p>
    <w:p>
      <w:r>
        <w:t>En second lieu, les divers médecins retiennent de façon concordante, s’agissant des limitations fonctionnelles, la station debout limitée, l’utilisation des escaliers, l’accroupissement et la position à genoux. Ces limitations sont admises en raison de l’intensité des douleurs décrites par l’assuré, alors que plusieurs médecins relèvent que ni les imageries, ni l’examen clinique ne permettent d’expliquer l’importance des douleurs et les limitations fonctionnelles retenues (Dresse DROZ RIEDO, spécialisée en chirurgie orthopédique ; Dr M__________, rhumatologue ; Dr N__________, rhumatologue).</w:t>
      </w:r>
    </w:p>
    <w:p>
      <w:r>
        <w:t>En troisième lieu, les divers rapports médicaux soulignent l’impossibilité d’objectiver médicalement les importantes douleurs alléguées par l’assuré. Le Dr M__________ met en avant l’examen difficile chez un patient démonstratif, boitant et déroulant mal le pied gauche à la marche, alors qu’il n’y a pas de nette limitation de mobilité, ni de signe inflammatoire. La Dresse DROZ RIEDO précise que l’anamnèse n’est pas précise en ce qui concerne la localisation de la douleur, ni</w:t>
      </w:r>
    </w:p>
    <w:p>
      <w:r>
        <w:t>A/1886/2010 - 12/15 - le moment de son apparition, le patient indiquant avoir mal à la cheville tout le temps, le Dr P__________ (neurologue) indique que le patient souffre de troubles neurologiques d’origine incertaine, de douleurs des deux chevilles et d’une insensibilité qui ne s’explique pas, à défaut de signe inflammatoire. Le Dr N__________, rhumatologue, indique les radios et les IRM pratiquées ne permettent pas d’expliquer la globalité les symptômes dont souffre l’assuré, leur intensité et leur retentissement sur son fonctionnement.</w:t>
      </w:r>
    </w:p>
    <w:p>
      <w:r>
        <w:t>A ce sujet, la plupart des médecins suggèrent depuis février 2009 une consultation spécialisée auprès du Dr O__________, l’assuré ayant pris rendez-vous au début septembre 2009.</w:t>
      </w:r>
    </w:p>
    <w:p>
      <w:r>
        <w:t>C’est dans le cadre de ce complexe de faits et d’avis médicaux que l’expertise du Dr N__________, rhumatologue, effectuée à la demande de l’assurance SWICA, trouve son explication.</w:t>
      </w:r>
    </w:p>
    <w:p>
      <w:r>
        <w:t>En effet, c’est en raison de l’absence d’explication médicalement objectivée de l’intensité des douleurs alléguées par l’assuré que l’expert retient - en tenant compte précisément de ces douleurs - une incapacité de travail totale comme serveur. L’expert précise que si la consultation spécialisée n’apporte aucun argument quant à une atteinte à la santé qui permettrait d’expliquer les symptômes, il faudra alors admettre que ces douleurs ne sont pas objectivées médicalement et que l’assuré dispose d’une capacité de travail de 80 % dans son activité professionnelle de serveur, et ce afin de tenir compte d’une diminution de rendement de 20 % compte tenu des événements dégénératifs visualisés sous les examens radiologiques.</w:t>
      </w:r>
    </w:p>
    <w:p>
      <w:r>
        <w:t>Le grief de l’assuré concernant cette conclusion provisoire du Dr N__________ s'agissant du diagnostic, est donc dénué de fondement.</w:t>
      </w:r>
    </w:p>
    <w:p>
      <w:r>
        <w:t>Suite à la consultation spécialisée auprès du Dr O__________, un diagnostic clair a été posé, lequel explique les douleurs à la cheville gauche, et, sans certitude en l'état, à la cheville droite. Ainsi, l'avis de l'expert, qui admet une incapacité totale de travail en tant que serveur peut être maintenu (ou retenu ?). L'expertise n'est donc pas critiquable sur ce point.</w:t>
      </w:r>
    </w:p>
    <w:p>
      <w:r>
        <w:t>Pour le surplus, l’expertise du Dr N__________ remplit les exigences de la jurisprudence et a donc valeur probante. L’expert procède à un examen complet, tient compte des plaintes du patient, explique le bilan radiologique et tire des conclusions convaincantes, en particulier celles exposées plus haut. A noter que tant les limitations fonctionnelles liées à la douleur, et la capacité de travail dans une activité adaptée, sédentaire, excluant la marche et la position debout prolongée, concordent avec l’avis de tous les autres médecins consultés. Cet avis est également partagé par le Dr O__________.</w:t>
      </w:r>
    </w:p>
    <w:p>
      <w:r>
        <w:t>A/1886/2010 - 13/15 -</w:t>
      </w:r>
    </w:p>
    <w:p>
      <w:r>
        <w:t>Sur cette base, c'est donc à juste titre que l'OAI a retenu que l'assuré avait une pleine capacité de travail dans une activité adaptée, en position assise, excluant toute invalidité. Les autres douleurs dont se plaint depuis lors l’assuré, au niveau du dos et de façon diffuse dans le corps n'ont jamais fait l'objet d'un examen médical approfondi, ne sont corroborées ni par le médecin traitant, ni par les divers spécialistes consultés, ni par des imageries médicales et elles ne sont documentées par aucun rapport médical probant. L'assuré en fait état, pour la première fois, lors de sa consultation chez le Dr O__________ en septembre 2009 et du stage aux EPI. Ces douleurs diffuses n’ont pas été investiguées par le Dr O__________, qui se fonde exclusivement sur les plaintes de l’assuré, lesquelles ne sont pas déterminantes, à elles seules, pour retenir au degré de la vraisemblance prépondérante, que l'assuré souffre d'une affection médicale expliquant ces douleurs et impliquant des limitations fonctionnelles supplémentaires, telle la nécessité d'alterner la position assise et debout.</w:t>
      </w:r>
    </w:p>
    <w:p>
      <w:r>
        <w:rPr>
          <w:b/>
        </w:rPr>
        <w:t>E. 6</w:t>
      </w:r>
    </w:p>
    <w:p>
      <w:r>
        <w:t>S'agissant des conclusions de l'assuré sollicitant l'audition du Dr O__________, elles seront rejetées, car le médecin a répondu de façon circonstanciée et précise aux questions posées par le Tribunal. Il ressort de l’avis de ce spécialiste que le diagnostic indiqué par les imageries est confirmé, les limitations fonctionnelles consécutives aux douleurs des membres inférieurs également, de sorte que l’assuré est incapable de travailler en tant que serveur. De même, l’affection diagnostiquée et les limitations fonctionnelles admises ne limitent pas la capacité de travail de l’assuré en position assise.</w:t>
      </w:r>
    </w:p>
    <w:p>
      <w:r>
        <w:t>A ce sujet d’ailleurs, le stage effectué auprès des EPI, confronté aux avis médicaux recueillis, ne montre pas de contradiction qui pourrait justifier une instruction médicale complémentaire. En effet, le caractère démonstratif de l’assuré, déjà relevé par les médecins, est corroboré lors du stage, l’assuré se massant les cuisses et faisant des moues de douleur, puis se levant, moins d’un quart d’heure après s’être assis, affirmant que ces déplacements soulagent ses douleurs, alors que les intenses douleurs à ses pieds devraient limiter la marche.</w:t>
      </w:r>
    </w:p>
    <w:p>
      <w:r>
        <w:t>Ainsi, et compte tenu de ce qui précède, c’est à juste titre que l’OAI a retenu que l’assuré était pleinement capable de travailler, dans une activité adaptée, en position assise. A cet égard, le revenu sans invalidité, savoir le dernier salaire de l'assuré indexé, et celui avec invalidité, fondé sur les statistiques, retenus par l’OAI ne prêtent pas flanc à la critique.</w:t>
      </w:r>
    </w:p>
    <w:p>
      <w:r>
        <w:t>En admettant même que l’assuré ait besoin d’alterner les positions assise et debout, ce qui n’est médicalement pas attesté, et qu’il faille, de ce fait, retenir une diminution de rendement de 20 %, le taux d’invalidité de l’assuré ne dépasserait pas</w:t>
      </w:r>
    </w:p>
    <w:p>
      <w:r>
        <w:t>A/1886/2010 - 14/15 - 15 %, sur la base des salaires retenus par l'OAI, ce qui n’ouvre pas de droit à une rente d’invalidité.</w:t>
      </w:r>
    </w:p>
    <w:p>
      <w:r>
        <w:rPr>
          <w:b/>
        </w:rPr>
        <w:t>E. 7</w:t>
      </w:r>
    </w:p>
    <w:p>
      <w:r>
        <w:t>Le recours, mal fondé, est donc rejeté. Un émolument de 200 fr. est mis à la charge de l’assuré.</w:t>
      </w:r>
    </w:p>
    <w:p>
      <w:r>
        <w:t>A/1886/2010 - 15/15 -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