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ATAS/845/2009 vom 24. Juni 2009</w:t>
      </w:r>
    </w:p>
    <w:p>
      <w:r>
        <w:t>GE Cour de justice, 2009-06-24, FR</w:t>
      </w:r>
    </w:p>
    <w:p>
      <w:r>
        <w:rPr>
          <w:b/>
        </w:rPr>
        <w:t xml:space="preserve">Quelle: </w:t>
      </w:r>
      <w:r>
        <w:t>https://mcp.opencaselaw.ch/entscheid/ge_gerichte_ATAS_845_2009</w:t>
      </w:r>
    </w:p>
    <w:p>
      <w:r>
        <w:t>FR: GE_GERICHTE ATAS/845/2009 du 24 juin 2009</w:t>
      </w:r>
    </w:p>
    <w:p>
      <w:r>
        <w:t>IT: GE_GERICHTE ATAS/845/2009 del 24 giugno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Le 1er janvier 2008 sont entrées en vigueur les modifications de la LAI du 6 octobre 2006 (5ème révision de la LAI) Elles sont à prendre en considération pour</w:t>
      </w:r>
    </w:p>
    <w:p>
      <w:r>
        <w:t>A/1550/2009 - 6/14 - déterminer les prestations dès cette date, eu égard au principe selon lequel les règles applicables sont celles en vigueur au moment de la réalisation de l'état de fait dont les conséquences juridiques font l'objet de la décision (ATF 129 V 1 consid. 1.2 p.</w:t>
      </w:r>
    </w:p>
    <w:p>
      <w:r>
        <w:rPr>
          <w:b/>
        </w:rPr>
        <w:t>E. 4</w:t>
      </w:r>
    </w:p>
    <w:p>
      <w:r>
        <w:t>Se pose en premier lieu la question de savoir quel est l'objet du litige, le recourant concluant à principalement à l'octroi de mesures d'ordre professionnel, alors que la décision a trait à un refus de rente. A cet égard, l'intimé se prévaut de sa communication du 8 septembre 2008 qui n'a pas été contestée par le recourant. Il y a lieu dès lors d'examiner si cette communication doit être considérée comme une décision entrée en force, de sorte que le recourant est forclos de demander de nouvelles mesures de réadaptation professionnelle.</w:t>
      </w:r>
    </w:p>
    <w:p>
      <w:r>
        <w:rPr>
          <w:b/>
        </w:rPr>
        <w:t>E. 5</w:t>
      </w:r>
    </w:p>
    <w:p>
      <w:r>
        <w:t>a) L'art. 49 al. 1 LPGA prescrit que l'assureur doit rendre par écrit les décisions portant sur des prestations, créances ou injonctions importantes ou avec lesquelles l'intéressé n'est pas d'accord. En vertu de l'al. 3 de cette disposition, les décisions doivent indiquer les voies de droit et être motivées, si elles ne font pas entièrement droit aux demandes des parties. La notification irrégulière d'une décision ne doit entraîner aucun préjudice pour l'intéressé. Selon l'art. 51 al. 1 LPGA, les prestations, créances et injonctions autres que celles visées à l'art. 49 al. 1 peuvent être traitées selon une procédure simplifiée. L'intéressé peut exiger une décision formelle (al. 2). En l'occurrence, il ne fait pas de doute que l'intimé aurait dû communiquer au recourant son refus de mesures professionnelles par une décision formelle satisfaisant aux exigences de l'art. 49 al. 3 LPGA. b) Dans un tel cas, l'art. 51 al. 2 LPGA s'applique par analogie et l'assuré est en droit de demander à l'assureur une décision formelle, selon la jurisprudence du Tribunal fédéral. Ce droit s'éteint en règle générale une année après que l'assureur a fait connaître sa volonté de manière simplifiée. Un délai plus long entre éventuellement en considération lorsque l'assuré pouvait croire de bonne foi que l'assureur poursuivrait l'élucidation de l'affaire et n'avait pas encore pris de décision définitive, notamment lorsqu'il s'agit d'un assuré profane en droit et dépourvu de conseil juridique. Si l'assuré ne respecte pas ce délai, ordinaire ou prolongé, il perd</w:t>
      </w:r>
    </w:p>
    <w:p>
      <w:r>
        <w:t>A/1550/2009 - 7/14 - son droit de demander une décision formelle afin de recourir contre celle-ci, et la volonté communiquée de façon simplifiée lui est opposable (ATF 134 V 145). En l'espèce, l'intimé a informé le 4 septembre 2008 le recourant qu'il mandatait un expert, à savoir le Dr N_________, afin d'évaluer le droit aux prestations de l'assurance-invalidité. Quatre jours plus tard, il lui a communiqué que "Selon nos constatations, des mesures de réadaptation ne sont actuellement pas possibles en raison de votre état de santé". Il a indiqué en outre à l'assuré qu'il examinait son droit à d'autres prestations de l'assurance-invalidité et que le recourant allait recevoir plus tard une décision séparée. Dans ces conditions, le recourant ne pouvait pas comprendre que la communication du refus de mesures professionnelles constituait une décision définitive. En effet, l'instruction du dossier n'était visiblement pas terminée. Par ailleurs, dans la mesure où le recourant aurait été prêt de se contenter d'une rente d'invalidité, il était prématuré de statuer sur l'octroi de mesures d'ordre professionnel. Il est également à relever que le gestionnaire du dossier à l'OCAI a lui-même établi un "mandat de réadaptation" encore en date du 6 février 2009. Le 12 suivant, la Division de réadaptation a répondu "pas de MOP [mesures d'ordre professionnel]". Cela montre également que, même dans l'esprit de l'intimé, la communication du 8 septembre 2008 ne constituait pas une décision définitive. Partant, il y a lieu d'admettre que le recours porte sur l'ensemble des prestations de l'assurance-invalidité auxquelles peut prétendre un assuré.</w:t>
      </w:r>
    </w:p>
    <w:p>
      <w:r>
        <w:rPr>
          <w:b/>
        </w:rPr>
        <w:t>E. 6</w:t>
      </w:r>
    </w:p>
    <w:p>
      <w:r>
        <w:t>Le recourant demande principalement l'octroi de mesures d'ordre professionnel. Toutefois, dans la mesure où le droit à une rente exclurait en principe l'octroi de telles mesures, il y a lieu d'examiner, dans un premier temps, si le recourant peut être mis au bénéfice d'une rente d'invalidité.</w:t>
      </w:r>
    </w:p>
    <w:p>
      <w:r>
        <w:rPr>
          <w:b/>
        </w:rPr>
        <w:t>E. 7</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8</w:t>
      </w:r>
    </w:p>
    <w:p>
      <w:r>
        <w:t>À teneur de la jurisprudence constante du Tribunal fédéral, une dépendance comme l’alcoolisme, la pharmacodépendance ou la toxicomanie ne constitue pas en soi une</w:t>
      </w:r>
    </w:p>
    <w:p>
      <w:r>
        <w:t>A/1550/2009 - 8/14 -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w:t>
      </w:r>
    </w:p>
    <w:p>
      <w:r>
        <w:rPr>
          <w:b/>
        </w:rPr>
        <w:t>E. 9</w:t>
      </w:r>
    </w:p>
    <w:p>
      <w:r>
        <w:t>a) Selon l'art. 28 al. 2 LAI, l'assuré a droit à une rente s'il est invalide à 40 % au moins. La rente est échelonnée comme suit, selon le taux d'invalidité : 40 % au moins un quart, 50 % au moins une demie, 60 % au moins trois-quarts, 70 % au moins rente entière. b) Aux termes de l'art. 29 al. 1 LAI,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w:t>
      </w:r>
    </w:p>
    <w:p>
      <w:r>
        <w:rPr>
          <w:b/>
        </w:rPr>
        <w:t>E. 10</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w:t>
      </w:r>
    </w:p>
    <w:p>
      <w:r>
        <w:t>A/1550/2009 - 9/14 -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11</w:t>
      </w:r>
    </w:p>
    <w:p>
      <w:r>
        <w:t>En l'espèce, le recourant a fait l'objet d'une expertise par le Dr N_________ et, dans le cadre de celle-ci, d'un examen neuropsychologique. Il convient en premier lieu de constater que cette expertise remplit tous les réquisits jurisprudentiels pour lui reconnaître une pleine valeur probante. Selon l'expert, le recourant dispose d'une pleine capacité de travail dans une activité adaptée, en faisant abstraction de son problème d'alcoolisme. Le recourant est limité par sa myopie, des lombalgies chroniques sévères et les séquelles douloureuses de la fracture fémorale. De ce fait, les mouvements de flexion dorso- lombaire antérieure sont contre-indiqués, ainsi que le port de charges régulier, l'élévation des bras au-dessus de la ligne des épaules, la marche au-delà de 500 mètres et en terrain irrégulier. Il ne peut pas non plus s'agenouiller ni s'accroupir, ni conduire un véhicule en raison de la dépendance et de la vision limitée. Le recourant reproche à l'intimé de ne pas avoir établi, d'une part, si sa dépendance à l'alcool est provoquée par une maladie psychique et, d'autre part, si cette alcoolisme a provoqué des séquelles irréversibles. Concernant le premier point, rien dans le dossier n'indique que le recourant souffre d'une atteinte psychique, dans la mesure où il n'a jamais été suivi par un psychiatre. Il a également réussi à fonctionner normalement, d'un point de vue social, pendant longtemps. Il ne donne</w:t>
      </w:r>
    </w:p>
    <w:p>
      <w:r>
        <w:t>A/1550/2009 - 10/14 - par ailleurs aucune indication sur le genre de problèmes psychiques dont il souffrirait. Au degré de la vraisemblance prépondérante, le Tribunal de céans estime dès lors que cette dépendance n'est en l'occurrence pas provoquée par un trouble psychique. S'agissant des séquelles irréversibles, il convient de relever que le recourant a pu travailler encore jusqu'à récemment en tant que grutier. Par ailleurs, il ne peut pas non plus être exclu que l'examen neuropsychologique était en fait altéré par un alcoolisme massif du recourant, dès lors que les analyses effectuées par le Dr N_________ dans le cadre de l'expertise ont révélé un taux d'alcoolémie de 2,08 o/oo au jour de l'examen (p. 5 de l'expertise). En tout état de cause, tant que le recourant ne parviendra pas de se libérer de sa dépendance, il paraît impossible de déterminer si celle-ci a causé des séquelles irréversibles avec une répercussion sur la capacité de travail. En ce qui concerne la fatigue engendrée par l'hépatite, l'expert qui est interniste a dû la prendre en compte. De surcroît, l'hépatite pourrait selon toute vraisemblance également être atténuée par une totale abstinence de l'alcool. Le Tribunal de céans ne voit pas par ailleurs pas l'utilité d'ordonner l'apport du dossier de la SUVA, les séquelles des nombreux accidents n'étant pas contestées. Il ne juge pas non nécessaire d'ordonner une expertise multidisciplinaire, le problème principal du recourant étant son alcoolisme qui empêche de surcroît en grande partie de déterminer ses capacités fonctionnelles objectives. Cela étant, sur la base de l'expertise du Dr N_________, il convient d'admettre, en l'état, que le recourant disposerait effectivement d'une pleine capacité de travail dans une activité adaptée à ses limitations physiques, s'il s'abstenait de consommer de l'alcool.</w:t>
      </w:r>
    </w:p>
    <w:p>
      <w:r>
        <w:rPr>
          <w:b/>
        </w:rPr>
        <w:t>E. 12</w:t>
      </w:r>
    </w:p>
    <w:p>
      <w:r>
        <w:t>Le recourant ne pouvant plus exercer son métier antérieur, il y a lieu de déterminer sa perte de gain.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w:t>
      </w:r>
    </w:p>
    <w:p>
      <w:r>
        <w:t>A/1550/2009 - 11/14 -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13</w:t>
      </w:r>
    </w:p>
    <w:p>
      <w:r>
        <w:t>En l'espèce, le recourant a travaillé de façon irrégulière pour des entreprises temporaires pendant les dernières années. Il ne s'agit vraisemblablement pas d'un choix, mais d'une situation due à la difficulté de trouver un emploi stable à son âge. Partant, il y a lieu de prendre en considération, pour la comparaison des gains, à titre de salaire sans invalidité non pas les salaires effectivement réalisés, mais la valeur centrale ressortant des statistiques pour les salaires dans la construction concernant les activités avec connaissances professionnelles spécialisées, soit le niveau de qualification 3, le recourant ayant une formation de maçon et de grutier. Ce salaire de référence est de 65'064 fr. par année en 2006 (Enquête suisse sur la structure des salaires 2006, TA1, p. 25).</w:t>
      </w:r>
    </w:p>
    <w:p>
      <w:r>
        <w:t>A/1550/2009 - 12/14 - Pour le revenu d'invalide, le salaire de référence est en l'espèce celui auquel peuvent prétendre les hommes effectuant des activités simples et répétitives (niveau de qualification 4) dans le secteur privé, à savoir 56'784 fr. par année en 2006 (Enquête suisse sur la structure des salaires 2006, TA1, p. 25). Au regard du large éventail d'activités simples et répétitives que recouvrent les secteurs de la production et des services, on doit en effet convenir qu'un certain nombre d'entre elles sont légères et adaptées aux handicaps du recourant. Vu l'âge du recourant (année de naissance 1951) et ses handicaps considérables, qui empêchent notamment toute polyvalence, il se justifie de procéder à un abattement de ce salaire statistique à hauteur de 20%. Il en résulte un revenu de 45'427 fr., en chiffres arrondis. La perte de gain s'établit ainsi à 30,18%. Un tel degré n'ouvre pas le droit à une rente d'invalidité.</w:t>
      </w:r>
    </w:p>
    <w:p>
      <w:r>
        <w:rPr>
          <w:b/>
        </w:rPr>
        <w:t>E. 14</w:t>
      </w:r>
    </w:p>
    <w:p>
      <w:r>
        <w:t>a) S'agissant des mesures d'ordre professionnel, selon l'art. 8 al. 1 aLAI, dans sa teneur en vigueur entre le 1er janvier 2004 et le 31 décembre 2007 (4ème révision 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art. 8 al. 3 let. b aLAI; cf. également art. 15 à</w:t>
      </w:r>
    </w:p>
    <w:p>
      <w:r>
        <w:rPr>
          <w:b/>
        </w:rPr>
        <w:t>E. 18</w:t>
      </w:r>
    </w:p>
    <w:p>
      <w:r>
        <w:t>LAI). L'art. 8 LAI, dans sa nouvelle teneur dès le 1er janvier 2008 reprend pour l'essentiel le texte de l'ancienne disposition. Il précise toutefois à l'al. 1bis qu'il est tenu compte de la durée probable de la vie professionnelle restante, lors de la fixation des mesures de réadaptation. Ces mesures sont par ailleurs complétées par une allocation d'initiation au travail, régie par l'art. 18a LAI, et une aide en capital, réglée à l'art. 18b LAI pour les personnes qui désirent entreprendre ou développer une activité en tant qu'indépendant. b) Pour déterminer si une mesure de réadaptation d'ordre professionnel est de nature à rétablir, améliorer, sauvegarder ou favoriser l'usage de la capacité de gain de l'assuré, l'administration doit préalablement établir un pronostic sur les chances de succès des mesures demandées (cf. ATF 110 V 102),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(VSI 2002 p. 112 consid. 2 et les références). En effet, des mesures de</w:t>
      </w:r>
    </w:p>
    <w:p>
      <w:r>
        <w:t>A/1550/2009 - 13/14 - réadaptation ne sont à la charge de l'assurance-invalidité que s'il existe une proportion raisonnable entre leur coût et leur utilité prévisible. Ainsi,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(ATF non publié du 13 juin 2007, I 552/06). 15. En l'occurrence, l'alcoolisation massive du recourant constatée par plusieurs médecins et la neuropsychologue, empêche toute mise en œuvre de mesures d'ordre professionnel, de sorte qu'il convient d'admettre que les conditions légales pour l'octroi de telles mesures ne sont actuellement pas réalisées. Cependant, si le recourant devait parvenir à devenir abstinent de l'alcool, l'octroi d'une mesure d'ordre professionnel, soit notamment d'une orientation professionnelle et d'une aide au placement, pourrait être envisagé. Il appartiendra alors au recourant de déposer une nouvelle demande, en rendant plausible son abstinence. 16. Au vu de ce qui précède, le recours sera rejeté. 17. Le recourant plaidant au bénéfice de l'assistance juridique, le Tribunal de céans renonce à percevoir un émolument de justice.</w:t>
      </w:r>
    </w:p>
    <w:p>
      <w:r>
        <w:t>A/1550/2009 - 14/14 -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