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ATAS/844/2022 vom 22. September 2022</w:t>
      </w:r>
    </w:p>
    <w:p>
      <w:r>
        <w:t>GE Cour de justice, 2022-09-22, FR</w:t>
      </w:r>
    </w:p>
    <w:p>
      <w:r>
        <w:rPr>
          <w:b/>
        </w:rPr>
        <w:t xml:space="preserve">Quelle: </w:t>
      </w:r>
      <w:r>
        <w:t>https://mcp.opencaselaw.ch/entscheid/ge_gerichte_ATAS_844_2022</w:t>
      </w:r>
    </w:p>
    <w:p>
      <w:r>
        <w:t>FR: GE_GERICHTE ATAS/844/2022 du 22 septembre 2022</w:t>
      </w:r>
    </w:p>
    <w:p>
      <w:r>
        <w:t>IT: GE_GERICHTE ATAS/844/2022 del 22 settembre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Dès le 1er janvier 2022, sont entrées en vigueur les modifications de la LAI du 19 juin 2020 (développement continu de l’AI ; RO 2021 705).</w:t>
      </w:r>
    </w:p>
    <w:p>
      <w:r>
        <w:t>A/3326/2020 - 9/18 -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16 septembre 2020, refusant d’accorder des prestations invalidité au recourant.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 au moins, ou à un quart de rente s’il est invalide à 4%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w:t>
      </w:r>
    </w:p>
    <w:p>
      <w:r>
        <w:t>A/3326/2020 - 10/18 -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A/3326/2020 - 11/18 - incapacitants et, d'autre part, des potentiels de compensation (ressources) (ATF 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10.1</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w:t>
      </w:r>
    </w:p>
    <w:p>
      <w:r>
        <w:t>A/3326/2020 - 12/18 -</w:t>
      </w:r>
    </w:p>
    <w:p>
      <w:r>
        <w:rPr>
          <w:b/>
        </w:rPr>
        <w:t>E. 10.2</w:t>
      </w:r>
    </w:p>
    <w:p>
      <w:r>
        <w:t>Le caractère primaire ou secondaire d’un trouble de la dépendance n’est plus décisif pour en nier d’emblée toute pertinence sous l’angle du droit de l’assurance- invalidité (arrêt du Tribunal fédéral 9C_618/2019 du 16 mars 2020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11.1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A/3326/2020 - 13/18 -</w:t>
      </w:r>
    </w:p>
    <w:p>
      <w:r>
        <w:rPr>
          <w:b/>
        </w:rPr>
        <w:t>E. 11.2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11.3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11.5</w:t>
      </w:r>
    </w:p>
    <w:p>
      <w:r>
        <w:t>Un rapport du SMR a pour fonction d'opérer la synthèse des renseignements médicaux versés au dossier, de prendre position à leur sujet et de prodiguer des</w:t>
      </w:r>
    </w:p>
    <w:p>
      <w:r>
        <w:t>A/3326/2020 - 14/18 -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w:t>
      </w:r>
    </w:p>
    <w:p>
      <w:r>
        <w:t>A/3326/2020 - 15/18 -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13.1</w:t>
      </w:r>
    </w:p>
    <w:p>
      <w:r>
        <w:t>En l’espèce, les appréciations des médecins traitants de l’assuré concernant sa capacité de travail s’opposent aux appréciations de l’expert J______, mandaté par l’intimé. Néanmoins, après que l’expert M______ désigné par la chambre de céans a rendu son rapport d’expertise du 22 juin 2022, les parties ont reconnu que ledit rapport était convaincant et l’intimé a considéré que l’octroi d’une rente entière d’invalidité fondée sur un degré d’invalidité de 100%, dès le 1er janvier 2020, se justifiait. Cette détermination correspond aux conclusions prises par l’assuré dans son recours, étant précisé que le recourant se fondait sur les appréciations de ses médecins traitants qui concluaient à son incapacité de travail à 100 %, y compris dans une activité adaptée. S’agissant de la valeur probante du rapport d’expertise du 22 juin 2022, la chambre de céans est d’avis que le rapport de l’expert M______ correspond en tous points aux exigences en la matière. Il a été établi en parfaite connaissance du dossier médical, dont la lecture a été complétée par un entretien téléphonique avec le Dr G______, psychiatre traitant de l’assuré, ainsi qu’avec la Dresse N______, spécialiste médecine interne et avec la psychologue O______. Le rapport contient, en outre, une anamnèse personnelle, familiale et professionnelle complète et l’expert a rapporté ses observations cliniques de manière détaillée à la suite d’un entretien approfondi qui s’est déroulé en deux fois, pour une durée totale de deux heures. Les diagnostics retenus sont soigneusement motivés et le Dr M______ a bien analysé la capacité de gain du recourant à la lumière des indicateurs développés par la jurisprudence. Il a, en outre, exposé de manière convaincante pour quelles raisons il se ralliait aux avis des autres intervenants ou au contraire s’en écartait. Ses conclusions sont, elles aussi, claires et motivées. Compte tenu de ce qui précède, la chambre de céans fait siennes les conclusions du rapport d’expertise qui présente une valeur probante, soit une capacité de travail nulle dans toute activité, étant précisé que cette conclusion n’est pas contestée par les parties.</w:t>
      </w:r>
    </w:p>
    <w:p>
      <w:r>
        <w:rPr>
          <w:b/>
        </w:rPr>
        <w:t>E. 13.2</w:t>
      </w:r>
    </w:p>
    <w:p>
      <w:r>
        <w:t>S’agissant du début de l’incapacité de travail totale, elle est fixée par l’expert judiciaire au mois de mai 2016.</w:t>
      </w:r>
    </w:p>
    <w:p>
      <w:r>
        <w:t>A/3326/2020 - 16/18 - Néanmoins, l’assuré n’a déposé sa demande de prestations invalidité qu’au mois de juin 2019.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En l’occurrence, conformément à l’art. 29 al. 1 LAI, ce n’est qu’à l’issue d’un délai de six mois, soit à partir du mois de janvier 2020 que la rente invalidité peut être octroyée au recourant, ce qui correspond à l’ultime détermination de l’OAI.</w:t>
      </w:r>
    </w:p>
    <w:p>
      <w:r>
        <w:rPr>
          <w:b/>
        </w:rPr>
        <w:t>E. 13.3</w:t>
      </w:r>
    </w:p>
    <w:p>
      <w:r>
        <w:t>Reste à examiner la question des coûts de l'expertise qui peuvent être mis à la charge de l'assureur social (ATF 137 V 210 consid. 4.4.2). L’intimé s’est opposé à une telle prise en charge au motif que l’instruction avait conduit à la mise en place d’une expertise psychiatrique auprès du Dr J______, ladite expertise n’étant pas lacunaire. Selon l’avis de son SMR, les mêmes atteintes et le même examen clinique avaient abouti à une autre interprétation de l’expert M______ par rapport à son confrère, l’expert J______. Selon le recourant, l’intégralité des frais d’expertise judiciaire doit être imputée à l’OAI dès lors que les conclusions prises par le Dr M______ s’opposent à celles de l’expert désigné par l’OAI.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w:t>
      </w:r>
    </w:p>
    <w:p>
      <w:r>
        <w:t>A/3326/2020 - 17/18 -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l'espèce, l’OAI a mandaté un expert en la personne du Dr J______. Le fait que ses conclusions soient différentes de celles de l’expert judiciaire mandaté par la chambre de céans ne permet pas de déduire que l'autorité administrative a diligenté une instruction présentant des lacunes ou des insuffisances caractérisées. Dès lors, les frais de l’expertise judiciaire effectuée par le Dr M______ seront laissés à la charge de l’État.</w:t>
      </w:r>
    </w:p>
    <w:p>
      <w:r>
        <w:rPr>
          <w:b/>
        </w:rPr>
        <w:t>E. 14</w:t>
      </w:r>
    </w:p>
    <w:p>
      <w:r>
        <w:t>Le recourant, obtenant gain de cause et étant assisté d'un conseil, a droit à des dépens qui seront fixés à CHF 3'000.- et mis à la charge de l'intimé (art. 61 let. g LPGA).</w:t>
      </w:r>
    </w:p>
    <w:p>
      <w:r>
        <w:rPr>
          <w:b/>
        </w:rPr>
        <w:t>E. 15</w:t>
      </w:r>
    </w:p>
    <w:p>
      <w:r>
        <w:t>Etant donné que, depuis le 1er juillet 2006, la procédure n'est plus gratuite (art. 69 al. 1bis LAI), au vu du sort du recours, il y a lieu de condamner l'intimé au paiement d'un émolument de CHF 200.-.</w:t>
      </w:r>
    </w:p>
    <w:p>
      <w:r>
        <w:t>A/3326/2020 - 18/18 -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