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ATAS/844/2014 vom 13. Mai 2014</w:t>
      </w:r>
    </w:p>
    <w:p>
      <w:r>
        <w:t>GE Cour de justice, 2014-05-13, FR</w:t>
      </w:r>
    </w:p>
    <w:p>
      <w:r>
        <w:rPr>
          <w:b/>
        </w:rPr>
        <w:t xml:space="preserve">Quelle: </w:t>
      </w:r>
      <w:r>
        <w:t>https://mcp.opencaselaw.ch/entscheid/ge_gerichte_ATAS_844_2014</w:t>
      </w:r>
    </w:p>
    <w:p>
      <w:r>
        <w:t>FR: GE_GERICHTE ATAS/844/2014 du 13 mai 2014</w:t>
      </w:r>
    </w:p>
    <w:p>
      <w:r>
        <w:t>IT: GE_GERICHTE ATAS/844/2014 del 13 maggio 2014</w:t>
      </w:r>
    </w:p>
    <w:p>
      <w:pPr>
        <w:pStyle w:val="Heading2"/>
      </w:pPr>
      <w:r>
        <w:t>Erwägungen</w:t>
      </w:r>
    </w:p>
    <w:p>
      <w:r>
        <w:rPr>
          <w:b/>
        </w:rPr>
        <w:t>E. 1</w:t>
      </w:r>
    </w:p>
    <w:p>
      <w:r>
        <w:t>Déclare le recours recevable. Sur incident :</w:t>
      </w:r>
    </w:p>
    <w:p>
      <w:r>
        <w:rPr>
          <w:b/>
        </w:rPr>
        <w:t>E. 2</w:t>
      </w:r>
    </w:p>
    <w:p>
      <w:r>
        <w:t>Prend acte qu’un recours ayant été interjeté, l’intimé ne reversera pas la somme litigieuse à Helsana et ce, jusqu’à droit jugé sur le fond.</w:t>
      </w:r>
    </w:p>
    <w:p>
      <w:r>
        <w:rPr>
          <w:b/>
        </w:rPr>
        <w:t>E. 3</w:t>
      </w:r>
    </w:p>
    <w:p>
      <w:r>
        <w:t>Constate que la requête de mesures provisionnelles est donc sans objet.</w:t>
      </w:r>
    </w:p>
    <w:p>
      <w:r>
        <w:rPr>
          <w:b/>
        </w:rPr>
        <w:t>E. 4</w:t>
      </w:r>
    </w:p>
    <w:p>
      <w:r>
        <w:t>Réserve la suite de la procédure.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